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EBA0" w14:textId="77777777" w:rsidR="003B4276" w:rsidRDefault="003B4276" w:rsidP="007E64A2">
      <w:pPr>
        <w:pStyle w:val="BodyText"/>
        <w:spacing w:after="0" w:line="240" w:lineRule="auto"/>
        <w:ind w:left="-142"/>
        <w:jc w:val="left"/>
        <w:sectPr w:rsidR="003B4276" w:rsidSect="00AA729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2" w:right="1418" w:bottom="1418" w:left="1418" w:header="680" w:footer="624" w:gutter="0"/>
          <w:cols w:space="708"/>
          <w:titlePg/>
          <w:docGrid w:linePitch="326"/>
        </w:sectPr>
      </w:pPr>
    </w:p>
    <w:p w14:paraId="751260AB" w14:textId="77777777" w:rsidR="003D6C48" w:rsidRDefault="003D6C48" w:rsidP="003D6C48"/>
    <w:p w14:paraId="5D137096" w14:textId="77777777" w:rsidR="005A7925" w:rsidRDefault="0060454D" w:rsidP="005C7525">
      <w:pPr>
        <w:jc w:val="left"/>
        <w:rPr>
          <w:sz w:val="22"/>
        </w:rPr>
      </w:pPr>
      <w:r>
        <w:rPr>
          <w:noProof/>
          <w:lang w:eastAsia="et-EE"/>
        </w:rPr>
        <w:drawing>
          <wp:anchor distT="0" distB="0" distL="114300" distR="114300" simplePos="0" relativeHeight="251658752" behindDoc="0" locked="0" layoutInCell="1" allowOverlap="1" wp14:anchorId="3A67F1D4" wp14:editId="40B53479">
            <wp:simplePos x="0" y="0"/>
            <wp:positionH relativeFrom="margin">
              <wp:align>left</wp:align>
            </wp:positionH>
            <wp:positionV relativeFrom="paragraph">
              <wp:posOffset>20955</wp:posOffset>
            </wp:positionV>
            <wp:extent cx="893129" cy="811987"/>
            <wp:effectExtent l="0" t="0" r="2540" b="7620"/>
            <wp:wrapThrough wrapText="bothSides">
              <wp:wrapPolygon edited="0">
                <wp:start x="0" y="0"/>
                <wp:lineTo x="0" y="21296"/>
                <wp:lineTo x="21201" y="21296"/>
                <wp:lineTo x="212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3129" cy="811987"/>
                    </a:xfrm>
                    <a:prstGeom prst="rect">
                      <a:avLst/>
                    </a:prstGeom>
                  </pic:spPr>
                </pic:pic>
              </a:graphicData>
            </a:graphic>
            <wp14:sizeRelH relativeFrom="page">
              <wp14:pctWidth>0</wp14:pctWidth>
            </wp14:sizeRelH>
            <wp14:sizeRelV relativeFrom="page">
              <wp14:pctHeight>0</wp14:pctHeight>
            </wp14:sizeRelV>
          </wp:anchor>
        </w:drawing>
      </w:r>
      <w:r w:rsidRPr="009A2EEE">
        <w:rPr>
          <w:noProof/>
          <w:lang w:eastAsia="et-EE"/>
        </w:rPr>
        <mc:AlternateContent>
          <mc:Choice Requires="wps">
            <w:drawing>
              <wp:anchor distT="0" distB="0" distL="114300" distR="114300" simplePos="0" relativeHeight="251657728" behindDoc="0" locked="0" layoutInCell="0" allowOverlap="0" wp14:anchorId="02AAD35D" wp14:editId="6E7B3C3F">
                <wp:simplePos x="0" y="0"/>
                <wp:positionH relativeFrom="margin">
                  <wp:posOffset>3223895</wp:posOffset>
                </wp:positionH>
                <wp:positionV relativeFrom="page">
                  <wp:posOffset>972185</wp:posOffset>
                </wp:positionV>
                <wp:extent cx="2632710" cy="812165"/>
                <wp:effectExtent l="0" t="0" r="0" b="444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812165"/>
                        </a:xfrm>
                        <a:prstGeom prst="rect">
                          <a:avLst/>
                        </a:prstGeom>
                        <a:solidFill>
                          <a:srgbClr val="FFFFFF"/>
                        </a:solidFill>
                        <a:ln w="9525">
                          <a:noFill/>
                          <a:miter lim="800000"/>
                          <a:headEnd/>
                          <a:tailEnd/>
                        </a:ln>
                      </wps:spPr>
                      <wps:txbx>
                        <w:txbxContent>
                          <w:p w14:paraId="75BE82E5" w14:textId="0927D6C5" w:rsidR="005A223E" w:rsidRPr="00D02782" w:rsidRDefault="005A223E" w:rsidP="007B7ACA">
                            <w:pPr>
                              <w:pStyle w:val="kastitekst"/>
                              <w:jc w:val="left"/>
                              <w:rPr>
                                <w:sz w:val="18"/>
                                <w:szCs w:val="18"/>
                              </w:rPr>
                            </w:pP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AAD35D" id="_x0000_t202" coordsize="21600,21600" o:spt="202" path="m,l,21600r21600,l21600,xe">
                <v:stroke joinstyle="miter"/>
                <v:path gradientshapeok="t" o:connecttype="rect"/>
              </v:shapetype>
              <v:shape id="Text Box 5" o:spid="_x0000_s1026" type="#_x0000_t202" style="position:absolute;margin-left:253.85pt;margin-top:76.55pt;width:207.3pt;height:63.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JYDAIAAAIEAAAOAAAAZHJzL2Uyb0RvYy54bWysU9uO0zAQfUfiHyy/07RZtSxR09XSpQhp&#10;uUgLH+A6TmLheMzYbVK+nrGTdgu8IfxgeTzjMzNnjtd3Q2fYUaHXYEu+mM05U1ZCpW1T8m9fd69u&#10;OfNB2EoYsKrkJ+X53ebli3XvCpVDC6ZSyAjE+qJ3JW9DcEWWedmqTvgZOGXJWQN2IpCJTVah6Am9&#10;M1k+n6+yHrByCFJ5T7cPo5NvEn5dKxk+17VXgZmSU20h7Zj2fdyzzVoUDQrXajmVIf6hik5oS0kv&#10;UA8iCHZA/RdUpyWChzrMJHQZ1LWWKvVA3Szmf3Tz1AqnUi9EjncXmvz/g5Wfjk/uC7IwvIWBBpia&#10;8O4R5HfPLGxbYRt1jwh9q0RFiReRsqx3vpieRqp94SPIvv8IFQ1ZHAIkoKHGLrJCfTJCpwGcLqSr&#10;ITBJl/nqJn+9IJck3+0iX6yWKYUozq8d+vBeQcfioeRIQ03o4vjoQ6xGFOeQmMyD0dVOG5MMbPZb&#10;g+woSAC7tCb038KMZX3J3yzzZUK2EN8nbXQ6kECN7qi4eVyjZCIb72yVQoLQZjxTJcZO9ERGRm7C&#10;sB8oMNK0h+pERCGMQqSPQ4cW8CdnPYmw5P7HQaDizHywRPbNKiZk4drAa2N/bQgrCarkgbPxuA2j&#10;0g8OddNSpvN472lAO524e65qqpuEliidPkVU8rWdop6/7uYXAAAA//8DAFBLAwQUAAYACAAAACEA&#10;9E78Q+AAAAALAQAADwAAAGRycy9kb3ducmV2LnhtbEyPwU7DMBBE70j8g7VI3KgdV6ElxKkQAsQB&#10;oVKQuG7jbRIRr6PYbcLfY05wXM3TzNtyM7tenGgMnWcD2UKBIK697bgx8PH+eLUGESKyxd4zGfim&#10;AJvq/KzEwvqJ3+i0i41IJRwKNNDGOBRShrolh2HhB+KUHfzoMKZzbKQdcUrlrpdaqWvpsOO00OJA&#10;9y3VX7ujM8CHp9fP+cHrbDttFT5nL47z2pjLi/nuFkSkOf7B8Kuf1KFKTnt/ZBtEbyBXq1VCU5Av&#10;MxCJuNF6CWJvQK8zBbIq5f8fqh8AAAD//wMAUEsBAi0AFAAGAAgAAAAhALaDOJL+AAAA4QEAABMA&#10;AAAAAAAAAAAAAAAAAAAAAFtDb250ZW50X1R5cGVzXS54bWxQSwECLQAUAAYACAAAACEAOP0h/9YA&#10;AACUAQAACwAAAAAAAAAAAAAAAAAvAQAAX3JlbHMvLnJlbHNQSwECLQAUAAYACAAAACEAiMKiWAwC&#10;AAACBAAADgAAAAAAAAAAAAAAAAAuAgAAZHJzL2Uyb0RvYy54bWxQSwECLQAUAAYACAAAACEA9E78&#10;Q+AAAAALAQAADwAAAAAAAAAAAAAAAABmBAAAZHJzL2Rvd25yZXYueG1sUEsFBgAAAAAEAAQA8wAA&#10;AHMFAAAAAA==&#10;" o:allowincell="f" o:allowoverlap="f" stroked="f">
                <v:textbox style="mso-fit-shape-to-text:t" inset="1mm,1mm,1mm,1mm">
                  <w:txbxContent>
                    <w:p w14:paraId="75BE82E5" w14:textId="0927D6C5" w:rsidR="005A223E" w:rsidRPr="00D02782" w:rsidRDefault="005A223E" w:rsidP="007B7ACA">
                      <w:pPr>
                        <w:pStyle w:val="kastitekst"/>
                        <w:jc w:val="left"/>
                        <w:rPr>
                          <w:sz w:val="18"/>
                          <w:szCs w:val="18"/>
                        </w:rPr>
                      </w:pPr>
                    </w:p>
                  </w:txbxContent>
                </v:textbox>
                <w10:wrap type="square" anchorx="margin" anchory="page"/>
              </v:shape>
            </w:pict>
          </mc:Fallback>
        </mc:AlternateContent>
      </w:r>
    </w:p>
    <w:p w14:paraId="4DD31D0F" w14:textId="77777777" w:rsidR="000D008B" w:rsidRDefault="000D008B" w:rsidP="005C7525">
      <w:pPr>
        <w:jc w:val="left"/>
        <w:rPr>
          <w:sz w:val="22"/>
        </w:rPr>
      </w:pPr>
    </w:p>
    <w:p w14:paraId="370E97E0" w14:textId="77777777" w:rsidR="000D008B" w:rsidRDefault="000D008B" w:rsidP="005C7525">
      <w:pPr>
        <w:jc w:val="left"/>
        <w:rPr>
          <w:sz w:val="22"/>
        </w:rPr>
      </w:pPr>
    </w:p>
    <w:p w14:paraId="45E53488" w14:textId="77777777" w:rsidR="000D008B" w:rsidRDefault="000D008B" w:rsidP="005C7525">
      <w:pPr>
        <w:jc w:val="left"/>
        <w:rPr>
          <w:sz w:val="22"/>
        </w:rPr>
      </w:pPr>
    </w:p>
    <w:p w14:paraId="051D1C2D" w14:textId="77777777" w:rsidR="000D008B" w:rsidRDefault="000D008B" w:rsidP="005C7525">
      <w:pPr>
        <w:jc w:val="left"/>
        <w:rPr>
          <w:sz w:val="22"/>
        </w:rPr>
      </w:pPr>
    </w:p>
    <w:p w14:paraId="48CEAADC" w14:textId="77777777" w:rsidR="000D008B" w:rsidRDefault="000D008B" w:rsidP="005C7525">
      <w:pPr>
        <w:jc w:val="left"/>
        <w:rPr>
          <w:sz w:val="22"/>
        </w:rPr>
      </w:pPr>
    </w:p>
    <w:p w14:paraId="3B7DA2D2" w14:textId="77777777" w:rsidR="00305DE1" w:rsidRDefault="00305DE1" w:rsidP="005C7525">
      <w:pPr>
        <w:jc w:val="left"/>
        <w:rPr>
          <w:sz w:val="22"/>
        </w:rPr>
      </w:pPr>
    </w:p>
    <w:p w14:paraId="5DDC3784" w14:textId="77777777" w:rsidR="00305DE1" w:rsidRDefault="00305DE1" w:rsidP="005C7525">
      <w:pPr>
        <w:jc w:val="left"/>
        <w:rPr>
          <w:sz w:val="22"/>
        </w:rPr>
      </w:pPr>
    </w:p>
    <w:p w14:paraId="644AAC00" w14:textId="77777777" w:rsidR="00D57137" w:rsidRDefault="00D57137">
      <w:pPr>
        <w:rPr>
          <w:szCs w:val="24"/>
        </w:rPr>
      </w:pPr>
    </w:p>
    <w:p w14:paraId="1FB56F2B" w14:textId="77777777" w:rsidR="0060454D" w:rsidRPr="00656F48" w:rsidRDefault="0060454D">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ED3814" w:rsidRPr="00656F48" w14:paraId="2E1E6529" w14:textId="77777777" w:rsidTr="00EF7493">
        <w:tc>
          <w:tcPr>
            <w:tcW w:w="5387" w:type="dxa"/>
          </w:tcPr>
          <w:p w14:paraId="65188174" w14:textId="77777777" w:rsidR="00ED3814" w:rsidRPr="00656F48" w:rsidRDefault="00ED3814">
            <w:pPr>
              <w:rPr>
                <w:rFonts w:ascii="Times New Roman" w:hAnsi="Times New Roman" w:cs="Times New Roman"/>
                <w:szCs w:val="24"/>
              </w:rPr>
            </w:pPr>
          </w:p>
        </w:tc>
        <w:tc>
          <w:tcPr>
            <w:tcW w:w="3675" w:type="dxa"/>
          </w:tcPr>
          <w:p w14:paraId="782B3F0A" w14:textId="65429203" w:rsidR="00ED3814" w:rsidRPr="00656F48" w:rsidRDefault="00ED3814" w:rsidP="00ED3814">
            <w:pPr>
              <w:tabs>
                <w:tab w:val="left" w:pos="4820"/>
              </w:tabs>
              <w:rPr>
                <w:rFonts w:ascii="Times New Roman" w:hAnsi="Times New Roman" w:cs="Times New Roman"/>
                <w:szCs w:val="24"/>
              </w:rPr>
            </w:pPr>
            <w:r w:rsidRPr="00656F48">
              <w:rPr>
                <w:rFonts w:ascii="Times New Roman" w:hAnsi="Times New Roman" w:cs="Times New Roman"/>
                <w:szCs w:val="24"/>
              </w:rPr>
              <w:t xml:space="preserve">  </w:t>
            </w:r>
            <w:r w:rsidRPr="00656F48">
              <w:rPr>
                <w:szCs w:val="24"/>
              </w:rPr>
              <w:fldChar w:fldCharType="begin"/>
            </w:r>
            <w:r w:rsidR="001F58EA">
              <w:rPr>
                <w:rFonts w:ascii="Times New Roman" w:hAnsi="Times New Roman" w:cs="Times New Roman"/>
                <w:szCs w:val="24"/>
              </w:rPr>
              <w:instrText xml:space="preserve"> delta_regDateTime  \* MERGEFORMAT</w:instrText>
            </w:r>
            <w:r w:rsidRPr="00656F48">
              <w:rPr>
                <w:szCs w:val="24"/>
              </w:rPr>
              <w:fldChar w:fldCharType="separate"/>
            </w:r>
            <w:r w:rsidR="001F58EA">
              <w:rPr>
                <w:rFonts w:ascii="Times New Roman" w:hAnsi="Times New Roman" w:cs="Times New Roman"/>
                <w:szCs w:val="24"/>
              </w:rPr>
              <w:t>22.04.2024</w:t>
            </w:r>
            <w:r w:rsidRPr="00656F48">
              <w:rPr>
                <w:szCs w:val="24"/>
              </w:rPr>
              <w:fldChar w:fldCharType="end"/>
            </w:r>
            <w:r w:rsidRPr="00656F48">
              <w:rPr>
                <w:rFonts w:ascii="Times New Roman" w:hAnsi="Times New Roman" w:cs="Times New Roman"/>
                <w:szCs w:val="24"/>
              </w:rPr>
              <w:t xml:space="preserve"> nr </w:t>
            </w:r>
            <w:r w:rsidRPr="00656F48">
              <w:rPr>
                <w:szCs w:val="24"/>
              </w:rPr>
              <w:fldChar w:fldCharType="begin"/>
            </w:r>
            <w:r w:rsidR="001F58EA">
              <w:rPr>
                <w:rFonts w:ascii="Times New Roman" w:hAnsi="Times New Roman" w:cs="Times New Roman"/>
                <w:szCs w:val="24"/>
              </w:rPr>
              <w:instrText xml:space="preserve"> delta_regNumber  \* MERGEFORMAT</w:instrText>
            </w:r>
            <w:r w:rsidRPr="00656F48">
              <w:rPr>
                <w:szCs w:val="24"/>
              </w:rPr>
              <w:fldChar w:fldCharType="separate"/>
            </w:r>
            <w:r w:rsidR="001F58EA">
              <w:rPr>
                <w:rFonts w:ascii="Times New Roman" w:hAnsi="Times New Roman" w:cs="Times New Roman"/>
                <w:szCs w:val="24"/>
              </w:rPr>
              <w:t>3-17/145</w:t>
            </w:r>
            <w:r w:rsidRPr="00656F48">
              <w:rPr>
                <w:szCs w:val="24"/>
              </w:rPr>
              <w:fldChar w:fldCharType="end"/>
            </w:r>
          </w:p>
        </w:tc>
      </w:tr>
    </w:tbl>
    <w:p w14:paraId="5F1B998E" w14:textId="77777777" w:rsidR="00D57137" w:rsidRPr="00656F48" w:rsidRDefault="00D57137">
      <w:pPr>
        <w:rPr>
          <w:szCs w:val="24"/>
        </w:rPr>
      </w:pPr>
    </w:p>
    <w:p w14:paraId="40DEB740" w14:textId="77777777" w:rsidR="00D57137" w:rsidRPr="00656F48" w:rsidRDefault="00D57137">
      <w:pPr>
        <w:rPr>
          <w:szCs w:val="24"/>
        </w:rPr>
      </w:pPr>
    </w:p>
    <w:p w14:paraId="3B28E3D9" w14:textId="77777777" w:rsidR="00D57137" w:rsidRPr="00656F48" w:rsidRDefault="00D57137">
      <w:pPr>
        <w:rPr>
          <w:szCs w:val="24"/>
        </w:rPr>
      </w:pPr>
    </w:p>
    <w:p w14:paraId="2AB9CE41" w14:textId="00135AD7" w:rsidR="005A7925" w:rsidRPr="00C03A2D" w:rsidRDefault="005A7925">
      <w:pPr>
        <w:rPr>
          <w:b/>
          <w:bCs/>
          <w:szCs w:val="24"/>
        </w:rPr>
      </w:pPr>
      <w:r w:rsidRPr="00C03A2D">
        <w:rPr>
          <w:b/>
          <w:bCs/>
          <w:szCs w:val="24"/>
        </w:rPr>
        <w:fldChar w:fldCharType="begin"/>
      </w:r>
      <w:r w:rsidR="001F58EA">
        <w:rPr>
          <w:b/>
          <w:bCs/>
          <w:szCs w:val="24"/>
        </w:rPr>
        <w:instrText xml:space="preserve"> delta_docName  \* MERGEFORMAT</w:instrText>
      </w:r>
      <w:r w:rsidRPr="00C03A2D">
        <w:rPr>
          <w:b/>
          <w:bCs/>
          <w:szCs w:val="24"/>
        </w:rPr>
        <w:fldChar w:fldCharType="separate"/>
      </w:r>
      <w:r w:rsidR="001F58EA">
        <w:rPr>
          <w:b/>
          <w:bCs/>
          <w:szCs w:val="24"/>
        </w:rPr>
        <w:t>Pakkumuse esitamise ettepanek minikonkursil raamlepingu nr 3-3/3185 alusel "Apollo digitoimingute arendustööde (JKTP, ET-liidestus) teostamine" (viitenumber 275745)</w:t>
      </w:r>
      <w:r w:rsidRPr="00C03A2D">
        <w:rPr>
          <w:b/>
          <w:bCs/>
          <w:szCs w:val="24"/>
        </w:rPr>
        <w:fldChar w:fldCharType="end"/>
      </w:r>
    </w:p>
    <w:p w14:paraId="352A65F6" w14:textId="77777777" w:rsidR="007B7ACA" w:rsidRPr="00656F48" w:rsidRDefault="007B7ACA"/>
    <w:p w14:paraId="02DDBEA0" w14:textId="2C3556EA" w:rsidR="00C03A2D" w:rsidRDefault="00C03A2D" w:rsidP="00C03A2D">
      <w:pPr>
        <w:rPr>
          <w:szCs w:val="24"/>
        </w:rPr>
      </w:pPr>
      <w:bookmarkStart w:id="1" w:name="_Toc347148596"/>
      <w:r w:rsidRPr="001946AB">
        <w:rPr>
          <w:szCs w:val="24"/>
        </w:rPr>
        <w:t xml:space="preserve">Siseministeeriumi infotehnoloogia- ja arenduskeskus (edaspidi SMIT või </w:t>
      </w:r>
      <w:r>
        <w:rPr>
          <w:szCs w:val="24"/>
        </w:rPr>
        <w:t>hankija</w:t>
      </w:r>
      <w:r w:rsidRPr="001946AB">
        <w:rPr>
          <w:szCs w:val="24"/>
        </w:rPr>
        <w:t>) soovib riigihanke „</w:t>
      </w:r>
      <w:r w:rsidRPr="001946AB">
        <w:rPr>
          <w:szCs w:val="24"/>
          <w:shd w:val="clear" w:color="auto" w:fill="FFFFFF"/>
        </w:rPr>
        <w:t xml:space="preserve">E-Politsei teenuste ja MISX programmi raamhange (analüüsi- ja arendustööd)" (253771) </w:t>
      </w:r>
      <w:r w:rsidRPr="001946AB">
        <w:rPr>
          <w:szCs w:val="24"/>
        </w:rPr>
        <w:t>alusel sõlmitud raamlepingu</w:t>
      </w:r>
      <w:r w:rsidRPr="001946AB">
        <w:rPr>
          <w:szCs w:val="24"/>
          <w:shd w:val="clear" w:color="auto" w:fill="FFFFFF"/>
        </w:rPr>
        <w:t xml:space="preserve"> nr </w:t>
      </w:r>
      <w:r>
        <w:rPr>
          <w:szCs w:val="24"/>
          <w:shd w:val="clear" w:color="auto" w:fill="FFFFFF"/>
        </w:rPr>
        <w:t xml:space="preserve">3-3/3185 </w:t>
      </w:r>
      <w:r w:rsidRPr="001946AB">
        <w:rPr>
          <w:szCs w:val="24"/>
        </w:rPr>
        <w:t>alusel sõlmida raamlepingu partneri</w:t>
      </w:r>
      <w:r w:rsidR="008046A3">
        <w:rPr>
          <w:szCs w:val="24"/>
        </w:rPr>
        <w:t>te</w:t>
      </w:r>
      <w:r w:rsidRPr="001946AB">
        <w:rPr>
          <w:szCs w:val="24"/>
        </w:rPr>
        <w:t>ga hankelepingu</w:t>
      </w:r>
      <w:r w:rsidR="008046A3">
        <w:rPr>
          <w:szCs w:val="24"/>
        </w:rPr>
        <w:t>d minikonkursi osas I</w:t>
      </w:r>
      <w:r w:rsidRPr="001946AB">
        <w:rPr>
          <w:szCs w:val="24"/>
        </w:rPr>
        <w:t xml:space="preserve"> </w:t>
      </w:r>
      <w:r>
        <w:rPr>
          <w:szCs w:val="24"/>
          <w:shd w:val="clear" w:color="auto" w:fill="FFFFFF"/>
        </w:rPr>
        <w:t>ühe</w:t>
      </w:r>
      <w:r w:rsidRPr="00B466DA">
        <w:rPr>
          <w:szCs w:val="24"/>
          <w:shd w:val="clear" w:color="auto" w:fill="FFFFFF"/>
        </w:rPr>
        <w:t xml:space="preserve"> </w:t>
      </w:r>
      <w:r>
        <w:rPr>
          <w:szCs w:val="24"/>
          <w:shd w:val="clear" w:color="auto" w:fill="FFFFFF"/>
        </w:rPr>
        <w:t xml:space="preserve">full-stack </w:t>
      </w:r>
      <w:r w:rsidRPr="00B466DA">
        <w:rPr>
          <w:szCs w:val="24"/>
          <w:shd w:val="clear" w:color="auto" w:fill="FFFFFF"/>
        </w:rPr>
        <w:t>vanemarendaja</w:t>
      </w:r>
      <w:r>
        <w:rPr>
          <w:szCs w:val="24"/>
          <w:shd w:val="clear" w:color="auto" w:fill="FFFFFF"/>
        </w:rPr>
        <w:t xml:space="preserve">, </w:t>
      </w:r>
      <w:r w:rsidR="008046A3">
        <w:rPr>
          <w:szCs w:val="24"/>
          <w:shd w:val="clear" w:color="auto" w:fill="FFFFFF"/>
        </w:rPr>
        <w:t xml:space="preserve">osas II </w:t>
      </w:r>
      <w:r>
        <w:rPr>
          <w:szCs w:val="24"/>
          <w:shd w:val="clear" w:color="auto" w:fill="FFFFFF"/>
        </w:rPr>
        <w:t xml:space="preserve">ühe full-stack arendaja, </w:t>
      </w:r>
      <w:r w:rsidR="008046A3">
        <w:rPr>
          <w:szCs w:val="24"/>
          <w:shd w:val="clear" w:color="auto" w:fill="FFFFFF"/>
        </w:rPr>
        <w:t xml:space="preserve">osas III </w:t>
      </w:r>
      <w:r>
        <w:rPr>
          <w:szCs w:val="24"/>
          <w:shd w:val="clear" w:color="auto" w:fill="FFFFFF"/>
        </w:rPr>
        <w:t xml:space="preserve">ühe süsteemianalüütiku, </w:t>
      </w:r>
      <w:r w:rsidR="008046A3">
        <w:rPr>
          <w:szCs w:val="24"/>
          <w:shd w:val="clear" w:color="auto" w:fill="FFFFFF"/>
        </w:rPr>
        <w:t xml:space="preserve">osas IV </w:t>
      </w:r>
      <w:r>
        <w:rPr>
          <w:szCs w:val="24"/>
          <w:shd w:val="clear" w:color="auto" w:fill="FFFFFF"/>
        </w:rPr>
        <w:t xml:space="preserve">ühe automaattestija ja </w:t>
      </w:r>
      <w:r w:rsidR="008046A3">
        <w:rPr>
          <w:szCs w:val="24"/>
          <w:shd w:val="clear" w:color="auto" w:fill="FFFFFF"/>
        </w:rPr>
        <w:t xml:space="preserve">osas V </w:t>
      </w:r>
      <w:r>
        <w:rPr>
          <w:szCs w:val="24"/>
          <w:shd w:val="clear" w:color="auto" w:fill="FFFFFF"/>
        </w:rPr>
        <w:t xml:space="preserve">ühe 0,5 kohaga UX/UI disaineri ressursi teenuse ostmiseks </w:t>
      </w:r>
      <w:r w:rsidRPr="001946AB">
        <w:rPr>
          <w:szCs w:val="24"/>
        </w:rPr>
        <w:t>ja teeb ettepaneku pakkumuse esitamiseks minikonkursi dokumentides toodud tingimustel</w:t>
      </w:r>
      <w:r>
        <w:rPr>
          <w:szCs w:val="24"/>
        </w:rPr>
        <w:t>.</w:t>
      </w:r>
    </w:p>
    <w:p w14:paraId="0FE6C091" w14:textId="77777777" w:rsidR="00C03A2D" w:rsidRPr="005B3170" w:rsidRDefault="00C03A2D" w:rsidP="00C03A2D">
      <w:pPr>
        <w:rPr>
          <w:szCs w:val="24"/>
        </w:rPr>
      </w:pPr>
    </w:p>
    <w:p w14:paraId="22763640" w14:textId="77777777" w:rsidR="00C03A2D" w:rsidRPr="005B3170" w:rsidRDefault="00C03A2D" w:rsidP="00C03A2D">
      <w:pPr>
        <w:pStyle w:val="ListParagraph"/>
        <w:numPr>
          <w:ilvl w:val="0"/>
          <w:numId w:val="6"/>
        </w:numPr>
        <w:spacing w:after="160" w:line="259" w:lineRule="auto"/>
        <w:ind w:left="0" w:firstLine="0"/>
        <w:contextualSpacing/>
        <w:jc w:val="both"/>
        <w:rPr>
          <w:rFonts w:ascii="Times New Roman" w:hAnsi="Times New Roman"/>
          <w:b/>
          <w:bCs/>
          <w:sz w:val="24"/>
        </w:rPr>
      </w:pPr>
      <w:r w:rsidRPr="005B3170">
        <w:rPr>
          <w:rFonts w:ascii="Times New Roman" w:hAnsi="Times New Roman"/>
          <w:b/>
          <w:bCs/>
          <w:sz w:val="24"/>
        </w:rPr>
        <w:t>Üldteave</w:t>
      </w:r>
    </w:p>
    <w:p w14:paraId="2C0BE8E1" w14:textId="77777777" w:rsidR="00C03A2D" w:rsidRPr="00C86F05"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C86F05">
        <w:rPr>
          <w:rFonts w:ascii="Times New Roman" w:hAnsi="Times New Roman"/>
          <w:sz w:val="24"/>
        </w:rPr>
        <w:t xml:space="preserve">Raamleping: reg nr </w:t>
      </w:r>
      <w:r w:rsidRPr="00C86F05">
        <w:rPr>
          <w:rFonts w:ascii="Times New Roman" w:hAnsi="Times New Roman"/>
          <w:sz w:val="24"/>
          <w:shd w:val="clear" w:color="auto" w:fill="FFFFFF"/>
        </w:rPr>
        <w:t>3-3/3185</w:t>
      </w:r>
      <w:r w:rsidRPr="00C86F05">
        <w:rPr>
          <w:rFonts w:ascii="Times New Roman" w:hAnsi="Times New Roman"/>
          <w:sz w:val="24"/>
        </w:rPr>
        <w:t>;</w:t>
      </w:r>
    </w:p>
    <w:p w14:paraId="5FF1B8FB" w14:textId="77777777" w:rsidR="00C03A2D" w:rsidRPr="00C86F05"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C86F05">
        <w:rPr>
          <w:rFonts w:ascii="Times New Roman" w:hAnsi="Times New Roman"/>
          <w:sz w:val="24"/>
        </w:rPr>
        <w:t>Hanke eest vastutav isik: Lagle Sokmann</w:t>
      </w:r>
    </w:p>
    <w:p w14:paraId="57526CB1" w14:textId="77777777" w:rsidR="00C03A2D" w:rsidRPr="00C86F05"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C86F05">
        <w:rPr>
          <w:rFonts w:ascii="Times New Roman" w:hAnsi="Times New Roman"/>
          <w:sz w:val="24"/>
        </w:rPr>
        <w:t>Hanke liik: minikonkurss raamlepingu alusel, minikonkursi viitenumber</w:t>
      </w:r>
      <w:r>
        <w:rPr>
          <w:rStyle w:val="meta-list-item-bold"/>
          <w:rFonts w:ascii="Times New Roman" w:hAnsi="Times New Roman"/>
          <w:sz w:val="24"/>
        </w:rPr>
        <w:t xml:space="preserve"> 275745.</w:t>
      </w:r>
    </w:p>
    <w:p w14:paraId="1020B7A4" w14:textId="54F30A76" w:rsidR="00C03A2D" w:rsidRPr="00C86F05" w:rsidRDefault="00C03A2D" w:rsidP="005D4EEC">
      <w:pPr>
        <w:pStyle w:val="ListParagraph"/>
        <w:numPr>
          <w:ilvl w:val="1"/>
          <w:numId w:val="6"/>
        </w:numPr>
        <w:spacing w:after="160" w:line="259" w:lineRule="auto"/>
        <w:ind w:left="709" w:hanging="709"/>
        <w:contextualSpacing/>
        <w:jc w:val="both"/>
        <w:rPr>
          <w:rFonts w:ascii="Times New Roman" w:hAnsi="Times New Roman"/>
          <w:sz w:val="24"/>
        </w:rPr>
      </w:pPr>
      <w:r w:rsidRPr="00C86F05">
        <w:rPr>
          <w:rFonts w:ascii="Times New Roman" w:hAnsi="Times New Roman"/>
          <w:sz w:val="24"/>
        </w:rPr>
        <w:t>Eeldatav maksumus</w:t>
      </w:r>
      <w:r w:rsidR="008046A3">
        <w:rPr>
          <w:rFonts w:ascii="Times New Roman" w:hAnsi="Times New Roman"/>
          <w:sz w:val="24"/>
        </w:rPr>
        <w:t xml:space="preserve"> kokku</w:t>
      </w:r>
      <w:r w:rsidRPr="00C86F05">
        <w:rPr>
          <w:rFonts w:ascii="Times New Roman" w:hAnsi="Times New Roman"/>
          <w:sz w:val="24"/>
        </w:rPr>
        <w:t xml:space="preserve">: </w:t>
      </w:r>
      <w:r>
        <w:rPr>
          <w:rFonts w:ascii="Times New Roman" w:hAnsi="Times New Roman"/>
          <w:sz w:val="24"/>
        </w:rPr>
        <w:t xml:space="preserve">445 592,00 </w:t>
      </w:r>
      <w:r w:rsidRPr="00C86F05">
        <w:rPr>
          <w:rFonts w:ascii="Times New Roman" w:hAnsi="Times New Roman"/>
          <w:sz w:val="24"/>
        </w:rPr>
        <w:t>eurot km-ta.</w:t>
      </w:r>
      <w:r w:rsidR="008046A3">
        <w:rPr>
          <w:rFonts w:ascii="Times New Roman" w:hAnsi="Times New Roman"/>
          <w:sz w:val="24"/>
        </w:rPr>
        <w:t xml:space="preserve"> </w:t>
      </w:r>
      <w:commentRangeStart w:id="2"/>
      <w:r w:rsidR="008046A3" w:rsidRPr="005D4EEC">
        <w:rPr>
          <w:rFonts w:ascii="Times New Roman" w:hAnsi="Times New Roman"/>
          <w:sz w:val="24"/>
        </w:rPr>
        <w:t xml:space="preserve">Osas I …. </w:t>
      </w:r>
      <w:r w:rsidR="005D4EEC" w:rsidRPr="005D4EEC">
        <w:rPr>
          <w:rFonts w:ascii="Times New Roman" w:hAnsi="Times New Roman"/>
          <w:sz w:val="24"/>
        </w:rPr>
        <w:t>eurot</w:t>
      </w:r>
      <w:r w:rsidR="005D4EEC" w:rsidRPr="00C86F05">
        <w:rPr>
          <w:rFonts w:ascii="Times New Roman" w:hAnsi="Times New Roman"/>
          <w:sz w:val="24"/>
        </w:rPr>
        <w:t xml:space="preserve"> km-ta</w:t>
      </w:r>
      <w:r w:rsidR="005D4EEC">
        <w:rPr>
          <w:rFonts w:ascii="Times New Roman" w:hAnsi="Times New Roman"/>
          <w:sz w:val="24"/>
        </w:rPr>
        <w:t xml:space="preserve">, Osas II … </w:t>
      </w:r>
      <w:r w:rsidR="005D4EEC" w:rsidRPr="00C86F05">
        <w:rPr>
          <w:rFonts w:ascii="Times New Roman" w:hAnsi="Times New Roman"/>
          <w:sz w:val="24"/>
        </w:rPr>
        <w:t>eurot km-ta</w:t>
      </w:r>
      <w:r w:rsidR="005D4EEC">
        <w:rPr>
          <w:rFonts w:ascii="Times New Roman" w:hAnsi="Times New Roman"/>
          <w:sz w:val="24"/>
        </w:rPr>
        <w:t xml:space="preserve">, Osas III … </w:t>
      </w:r>
      <w:r w:rsidR="005D4EEC" w:rsidRPr="00C86F05">
        <w:rPr>
          <w:rFonts w:ascii="Times New Roman" w:hAnsi="Times New Roman"/>
          <w:sz w:val="24"/>
        </w:rPr>
        <w:t>eurot km-ta</w:t>
      </w:r>
      <w:r w:rsidR="005D4EEC">
        <w:rPr>
          <w:rFonts w:ascii="Times New Roman" w:hAnsi="Times New Roman"/>
          <w:sz w:val="24"/>
        </w:rPr>
        <w:t xml:space="preserve">, Osas IV … </w:t>
      </w:r>
      <w:r w:rsidR="005D4EEC" w:rsidRPr="00C86F05">
        <w:rPr>
          <w:rFonts w:ascii="Times New Roman" w:hAnsi="Times New Roman"/>
          <w:sz w:val="24"/>
        </w:rPr>
        <w:t>eurot km-ta</w:t>
      </w:r>
      <w:r w:rsidR="005D4EEC">
        <w:rPr>
          <w:rFonts w:ascii="Times New Roman" w:hAnsi="Times New Roman"/>
          <w:sz w:val="24"/>
        </w:rPr>
        <w:t xml:space="preserve">  ja Osas V … </w:t>
      </w:r>
      <w:r w:rsidR="005D4EEC" w:rsidRPr="00C86F05">
        <w:rPr>
          <w:rFonts w:ascii="Times New Roman" w:hAnsi="Times New Roman"/>
          <w:sz w:val="24"/>
        </w:rPr>
        <w:t>eurot km-ta</w:t>
      </w:r>
      <w:r w:rsidR="005D4EEC">
        <w:rPr>
          <w:rFonts w:ascii="Times New Roman" w:hAnsi="Times New Roman"/>
          <w:sz w:val="24"/>
        </w:rPr>
        <w:t xml:space="preserve">. </w:t>
      </w:r>
    </w:p>
    <w:p w14:paraId="5231D349" w14:textId="77777777" w:rsidR="00C03A2D" w:rsidRPr="003A518B"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3A518B">
        <w:rPr>
          <w:rFonts w:ascii="Times New Roman" w:hAnsi="Times New Roman"/>
          <w:sz w:val="24"/>
        </w:rPr>
        <w:t xml:space="preserve">CPV kood: </w:t>
      </w:r>
      <w:r>
        <w:rPr>
          <w:rFonts w:ascii="Times New Roman" w:hAnsi="Times New Roman"/>
          <w:sz w:val="24"/>
        </w:rPr>
        <w:t>72200000-7;</w:t>
      </w:r>
      <w:commentRangeEnd w:id="2"/>
      <w:r w:rsidR="00190001">
        <w:rPr>
          <w:rStyle w:val="CommentReference"/>
          <w:rFonts w:ascii="Times New Roman" w:hAnsi="Times New Roman"/>
        </w:rPr>
        <w:commentReference w:id="2"/>
      </w:r>
    </w:p>
    <w:p w14:paraId="5C838703" w14:textId="77777777" w:rsidR="00C03A2D" w:rsidRPr="003A518B"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3A518B">
        <w:rPr>
          <w:rFonts w:ascii="Times New Roman" w:hAnsi="Times New Roman"/>
          <w:sz w:val="24"/>
        </w:rPr>
        <w:t>Menetluse teostamise viis: e-menetlus eRHR vahendusel.</w:t>
      </w:r>
    </w:p>
    <w:p w14:paraId="3CDF62B8" w14:textId="77777777" w:rsidR="00C03A2D" w:rsidRPr="006B7BFC"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3A518B">
        <w:rPr>
          <w:rFonts w:ascii="Times New Roman" w:hAnsi="Times New Roman"/>
          <w:sz w:val="24"/>
        </w:rPr>
        <w:t xml:space="preserve">Hankelepingu kestus: </w:t>
      </w:r>
      <w:r w:rsidRPr="006B7BFC">
        <w:rPr>
          <w:rFonts w:ascii="Times New Roman" w:hAnsi="Times New Roman"/>
          <w:sz w:val="24"/>
        </w:rPr>
        <w:t>lepinguliste kohuste täitumiseni (sh ka arve maksmise aeg);</w:t>
      </w:r>
    </w:p>
    <w:p w14:paraId="60DB0482" w14:textId="77777777" w:rsidR="00C03A2D" w:rsidRPr="00515416"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515416">
        <w:rPr>
          <w:rFonts w:ascii="Times New Roman" w:hAnsi="Times New Roman"/>
          <w:sz w:val="24"/>
        </w:rPr>
        <w:t xml:space="preserve">Finantseerimisallikas: </w:t>
      </w:r>
      <w:commentRangeStart w:id="3"/>
      <w:r w:rsidRPr="00515416">
        <w:rPr>
          <w:rFonts w:ascii="Times New Roman" w:hAnsi="Times New Roman"/>
          <w:sz w:val="24"/>
          <w:highlight w:val="yellow"/>
        </w:rPr>
        <w:t>…..;</w:t>
      </w:r>
      <w:commentRangeEnd w:id="3"/>
      <w:r w:rsidR="006F6822" w:rsidRPr="00515416">
        <w:rPr>
          <w:rStyle w:val="CommentReference"/>
          <w:rFonts w:ascii="Times New Roman" w:hAnsi="Times New Roman"/>
          <w:sz w:val="24"/>
          <w:szCs w:val="24"/>
        </w:rPr>
        <w:commentReference w:id="3"/>
      </w:r>
    </w:p>
    <w:p w14:paraId="57B15262" w14:textId="22C14294" w:rsidR="00515416" w:rsidRPr="00515416" w:rsidRDefault="00515416" w:rsidP="00C03A2D">
      <w:pPr>
        <w:pStyle w:val="ListParagraph"/>
        <w:numPr>
          <w:ilvl w:val="1"/>
          <w:numId w:val="6"/>
        </w:numPr>
        <w:spacing w:after="160" w:line="259" w:lineRule="auto"/>
        <w:ind w:left="0" w:firstLine="0"/>
        <w:contextualSpacing/>
        <w:jc w:val="both"/>
        <w:rPr>
          <w:rFonts w:ascii="Times New Roman" w:hAnsi="Times New Roman"/>
          <w:sz w:val="24"/>
        </w:rPr>
      </w:pPr>
      <w:r w:rsidRPr="00515416">
        <w:rPr>
          <w:rFonts w:ascii="Times New Roman" w:hAnsi="Times New Roman"/>
          <w:sz w:val="24"/>
        </w:rPr>
        <w:t>Minikonkurss on jagatud osadeks:</w:t>
      </w:r>
    </w:p>
    <w:p w14:paraId="59BE49C5" w14:textId="65B98704" w:rsidR="00515416" w:rsidRPr="00515416" w:rsidRDefault="00515416" w:rsidP="00515416">
      <w:pPr>
        <w:pStyle w:val="ListParagraph"/>
        <w:numPr>
          <w:ilvl w:val="2"/>
          <w:numId w:val="6"/>
        </w:numPr>
        <w:spacing w:after="160" w:line="259" w:lineRule="auto"/>
        <w:contextualSpacing/>
        <w:jc w:val="both"/>
        <w:rPr>
          <w:rFonts w:ascii="Times New Roman" w:hAnsi="Times New Roman"/>
          <w:sz w:val="24"/>
        </w:rPr>
      </w:pPr>
      <w:r w:rsidRPr="00515416">
        <w:rPr>
          <w:rFonts w:ascii="Times New Roman" w:hAnsi="Times New Roman"/>
          <w:sz w:val="24"/>
        </w:rPr>
        <w:t xml:space="preserve">Osa I - </w:t>
      </w:r>
      <w:r w:rsidRPr="00515416">
        <w:rPr>
          <w:rFonts w:ascii="Times New Roman" w:hAnsi="Times New Roman"/>
          <w:sz w:val="24"/>
          <w:lang w:eastAsia="et-EE"/>
        </w:rPr>
        <w:t>Full-stack vanemarendaja;</w:t>
      </w:r>
    </w:p>
    <w:p w14:paraId="01D82D17" w14:textId="2DDC4019" w:rsidR="00515416" w:rsidRPr="00515416" w:rsidRDefault="00515416" w:rsidP="00515416">
      <w:pPr>
        <w:pStyle w:val="ListParagraph"/>
        <w:numPr>
          <w:ilvl w:val="2"/>
          <w:numId w:val="6"/>
        </w:numPr>
        <w:spacing w:after="160" w:line="259" w:lineRule="auto"/>
        <w:contextualSpacing/>
        <w:jc w:val="both"/>
        <w:rPr>
          <w:rFonts w:ascii="Times New Roman" w:hAnsi="Times New Roman"/>
          <w:sz w:val="24"/>
        </w:rPr>
      </w:pPr>
      <w:r w:rsidRPr="00515416">
        <w:rPr>
          <w:rFonts w:ascii="Times New Roman" w:hAnsi="Times New Roman"/>
          <w:sz w:val="24"/>
          <w:lang w:eastAsia="et-EE"/>
        </w:rPr>
        <w:t>Osa II - Full-stack arendaja;</w:t>
      </w:r>
    </w:p>
    <w:p w14:paraId="435A6E64" w14:textId="30350874" w:rsidR="00515416" w:rsidRPr="00515416" w:rsidRDefault="00515416" w:rsidP="00515416">
      <w:pPr>
        <w:pStyle w:val="ListParagraph"/>
        <w:numPr>
          <w:ilvl w:val="2"/>
          <w:numId w:val="6"/>
        </w:numPr>
        <w:spacing w:after="160" w:line="259" w:lineRule="auto"/>
        <w:contextualSpacing/>
        <w:jc w:val="both"/>
        <w:rPr>
          <w:rFonts w:ascii="Times New Roman" w:hAnsi="Times New Roman"/>
          <w:sz w:val="24"/>
        </w:rPr>
      </w:pPr>
      <w:r w:rsidRPr="00515416">
        <w:rPr>
          <w:rFonts w:ascii="Times New Roman" w:hAnsi="Times New Roman"/>
          <w:sz w:val="24"/>
          <w:lang w:eastAsia="et-EE"/>
        </w:rPr>
        <w:t>Osa III – Süsteemianalüütik;</w:t>
      </w:r>
    </w:p>
    <w:p w14:paraId="6AC022C0" w14:textId="111B9012" w:rsidR="00515416" w:rsidRPr="00515416" w:rsidRDefault="00515416" w:rsidP="00515416">
      <w:pPr>
        <w:pStyle w:val="ListParagraph"/>
        <w:numPr>
          <w:ilvl w:val="2"/>
          <w:numId w:val="6"/>
        </w:numPr>
        <w:spacing w:after="160" w:line="259" w:lineRule="auto"/>
        <w:contextualSpacing/>
        <w:jc w:val="both"/>
        <w:rPr>
          <w:rFonts w:ascii="Times New Roman" w:hAnsi="Times New Roman"/>
          <w:sz w:val="24"/>
        </w:rPr>
      </w:pPr>
      <w:r w:rsidRPr="00515416">
        <w:rPr>
          <w:rFonts w:ascii="Times New Roman" w:hAnsi="Times New Roman"/>
          <w:sz w:val="24"/>
          <w:lang w:eastAsia="et-EE"/>
        </w:rPr>
        <w:t>Osa IV – Automaattestija;</w:t>
      </w:r>
    </w:p>
    <w:p w14:paraId="72ABF2E1" w14:textId="0F397771" w:rsidR="00515416" w:rsidRPr="00515416" w:rsidRDefault="00515416" w:rsidP="00515416">
      <w:pPr>
        <w:pStyle w:val="ListParagraph"/>
        <w:numPr>
          <w:ilvl w:val="2"/>
          <w:numId w:val="6"/>
        </w:numPr>
        <w:spacing w:after="160" w:line="259" w:lineRule="auto"/>
        <w:contextualSpacing/>
        <w:jc w:val="both"/>
        <w:rPr>
          <w:rFonts w:ascii="Times New Roman" w:hAnsi="Times New Roman"/>
          <w:sz w:val="24"/>
        </w:rPr>
      </w:pPr>
      <w:r w:rsidRPr="00515416">
        <w:rPr>
          <w:rFonts w:ascii="Times New Roman" w:hAnsi="Times New Roman"/>
          <w:sz w:val="24"/>
          <w:lang w:eastAsia="et-EE"/>
        </w:rPr>
        <w:t>Osa V - UX/UI disainer.</w:t>
      </w:r>
    </w:p>
    <w:p w14:paraId="4D48DCFF" w14:textId="77777777" w:rsidR="00C03A2D" w:rsidRPr="006B7BFC"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515416">
        <w:rPr>
          <w:rFonts w:ascii="Times New Roman" w:hAnsi="Times New Roman"/>
          <w:sz w:val="24"/>
        </w:rPr>
        <w:t>Pakkumuse</w:t>
      </w:r>
      <w:r w:rsidRPr="00373798">
        <w:rPr>
          <w:rFonts w:ascii="Times New Roman" w:hAnsi="Times New Roman"/>
          <w:sz w:val="24"/>
        </w:rPr>
        <w:t xml:space="preserve"> esitamise tähtaeg: Pakkumuse esitamise täpne kuupäev ja kellaaeg sätestatakse hankemenetluse eest vastutava isiku poolt </w:t>
      </w:r>
      <w:r>
        <w:rPr>
          <w:rFonts w:ascii="Times New Roman" w:hAnsi="Times New Roman"/>
          <w:sz w:val="24"/>
        </w:rPr>
        <w:t>eRHR-s</w:t>
      </w:r>
      <w:r w:rsidRPr="00373798">
        <w:rPr>
          <w:rFonts w:ascii="Times New Roman" w:hAnsi="Times New Roman"/>
          <w:sz w:val="24"/>
        </w:rPr>
        <w:t xml:space="preserve">. </w:t>
      </w:r>
      <w:r w:rsidRPr="00EF2998">
        <w:rPr>
          <w:rFonts w:ascii="Times New Roman" w:hAnsi="Times New Roman"/>
          <w:sz w:val="24"/>
        </w:rPr>
        <w:t>Hanke eest vastutaval isikul on õigus muuta pakkumuste esitamise tähtaega ning teha alusdokumentides menetluse käigus avastatud vajalikke mittesisulisi muudatusi ning parandusi.</w:t>
      </w:r>
      <w:r w:rsidRPr="0034133C">
        <w:rPr>
          <w:color w:val="FF0000"/>
        </w:rPr>
        <w:t xml:space="preserve"> </w:t>
      </w:r>
      <w:r w:rsidRPr="006B7BFC">
        <w:rPr>
          <w:rFonts w:ascii="Times New Roman" w:hAnsi="Times New Roman"/>
          <w:sz w:val="24"/>
        </w:rPr>
        <w:t>Pakkujal on õigus vajadusel teha ettepanek pakkumuse esitamise tähtaja pikendamiseks.</w:t>
      </w:r>
    </w:p>
    <w:p w14:paraId="7F530072" w14:textId="77777777" w:rsidR="00C03A2D"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87225B">
        <w:rPr>
          <w:rFonts w:ascii="Times New Roman" w:hAnsi="Times New Roman"/>
          <w:sz w:val="24"/>
        </w:rPr>
        <w:t xml:space="preserve">Pakkumuse jõusoleku tähtaeg: vähemalt 3 kuud alates pakkumuse esitamise tähtpäevast. </w:t>
      </w:r>
    </w:p>
    <w:p w14:paraId="2E44FF24" w14:textId="77777777" w:rsidR="00C03A2D" w:rsidRPr="006B7BFC"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EA7DF7">
        <w:rPr>
          <w:rFonts w:ascii="Times New Roman" w:hAnsi="Times New Roman"/>
          <w:sz w:val="24"/>
        </w:rPr>
        <w:lastRenderedPageBreak/>
        <w:t xml:space="preserve">Hankija ootus huvitatud isikutele on, et pakkujad teavitaks hankijat aegsasti RHR kaudu riigihanke alusdokumentides avastatud vigade, ebatäpsuste ja ebaselguste parandamiseks ja/või teeks ettepaneku pakkujate hinnangul riigihanke eseme hankimiseks seatud </w:t>
      </w:r>
      <w:r w:rsidRPr="006B7BFC">
        <w:rPr>
          <w:rFonts w:ascii="Times New Roman" w:hAnsi="Times New Roman"/>
          <w:sz w:val="24"/>
        </w:rPr>
        <w:t>ebaproportsionaalsete või põhjendamatute piirangute leevendamiseks.</w:t>
      </w:r>
      <w:bookmarkStart w:id="4" w:name="_Hlk125474126"/>
    </w:p>
    <w:p w14:paraId="27FCC6F2" w14:textId="77777777" w:rsidR="00C03A2D" w:rsidRDefault="00C03A2D" w:rsidP="00C03A2D">
      <w:pPr>
        <w:pStyle w:val="ListParagraph"/>
        <w:numPr>
          <w:ilvl w:val="1"/>
          <w:numId w:val="6"/>
        </w:numPr>
        <w:spacing w:after="160" w:line="259" w:lineRule="auto"/>
        <w:ind w:left="0" w:firstLine="0"/>
        <w:contextualSpacing/>
        <w:jc w:val="both"/>
        <w:rPr>
          <w:rFonts w:ascii="Times New Roman" w:hAnsi="Times New Roman"/>
          <w:sz w:val="24"/>
        </w:rPr>
      </w:pPr>
      <w:r w:rsidRPr="006B7BFC">
        <w:rPr>
          <w:rFonts w:ascii="Times New Roman" w:hAnsi="Times New Roman"/>
          <w:sz w:val="24"/>
        </w:rPr>
        <w:t>RHR üldandmetesse lahtris "lepingu täitmise tähtaeg" määratud kuupäev tähendab lepingu kehtivust, mitte üksnes täitja kohustuste täitmise tähtaega ning lähtub seetõttu nii täitja kui tellija kohustuste nõuetekohase täitmise tähtaegadest, sh hõlmatud on ka hankija arve tasumiseks kuluv aeg. Pakkujal tuleb lepingu sõlmimise korral lähtuda enda kohustuste tähtaegsel täitmisel lepingu projektis või tehnilises kirjelduses määratud täitmise/lepingu eseme tarnimise tähtajast.</w:t>
      </w:r>
      <w:bookmarkEnd w:id="4"/>
    </w:p>
    <w:p w14:paraId="2768F49A" w14:textId="77777777" w:rsidR="00C03A2D" w:rsidRPr="0087225B" w:rsidRDefault="00C03A2D" w:rsidP="00C03A2D">
      <w:pPr>
        <w:keepNext/>
        <w:tabs>
          <w:tab w:val="left" w:pos="0"/>
        </w:tabs>
        <w:ind w:right="-828"/>
        <w:outlineLvl w:val="1"/>
        <w:rPr>
          <w:rFonts w:eastAsia="SimSun"/>
          <w:b/>
          <w:bCs/>
          <w:szCs w:val="24"/>
        </w:rPr>
      </w:pPr>
    </w:p>
    <w:bookmarkEnd w:id="1"/>
    <w:p w14:paraId="007C84C0" w14:textId="77777777" w:rsidR="00C03A2D" w:rsidRPr="0087225B" w:rsidRDefault="00C03A2D" w:rsidP="00C03A2D">
      <w:pPr>
        <w:pStyle w:val="ListParagraph"/>
        <w:numPr>
          <w:ilvl w:val="0"/>
          <w:numId w:val="6"/>
        </w:numPr>
        <w:ind w:left="0" w:firstLine="0"/>
        <w:rPr>
          <w:rFonts w:ascii="Times New Roman" w:hAnsi="Times New Roman"/>
          <w:sz w:val="24"/>
          <w:lang w:eastAsia="et-EE"/>
        </w:rPr>
      </w:pPr>
      <w:r w:rsidRPr="0087225B">
        <w:rPr>
          <w:rFonts w:ascii="Times New Roman" w:hAnsi="Times New Roman"/>
          <w:b/>
          <w:bCs/>
          <w:sz w:val="24"/>
        </w:rPr>
        <w:t>Minikonkursi dokumendid</w:t>
      </w:r>
      <w:r w:rsidRPr="0087225B">
        <w:rPr>
          <w:rFonts w:ascii="Times New Roman" w:hAnsi="Times New Roman"/>
          <w:sz w:val="24"/>
          <w:lang w:eastAsia="et-EE"/>
        </w:rPr>
        <w:t xml:space="preserve"> koosnevad käesolevast dokumendist ning järgmistest lisadest:</w:t>
      </w:r>
    </w:p>
    <w:p w14:paraId="43FD7432" w14:textId="2BA6B7B3" w:rsidR="00C03A2D" w:rsidRDefault="00C03A2D" w:rsidP="00C03A2D">
      <w:pPr>
        <w:numPr>
          <w:ilvl w:val="1"/>
          <w:numId w:val="6"/>
        </w:numPr>
        <w:ind w:left="0" w:firstLine="0"/>
        <w:rPr>
          <w:szCs w:val="24"/>
          <w:lang w:eastAsia="et-EE"/>
        </w:rPr>
      </w:pPr>
      <w:r w:rsidRPr="0087225B">
        <w:rPr>
          <w:szCs w:val="24"/>
          <w:lang w:eastAsia="et-EE"/>
        </w:rPr>
        <w:t>Lisa 1</w:t>
      </w:r>
      <w:r>
        <w:rPr>
          <w:szCs w:val="24"/>
          <w:lang w:eastAsia="et-EE"/>
        </w:rPr>
        <w:t>-</w:t>
      </w:r>
      <w:r w:rsidRPr="0087225B">
        <w:rPr>
          <w:szCs w:val="24"/>
          <w:lang w:eastAsia="et-EE"/>
        </w:rPr>
        <w:t xml:space="preserve"> Hankelepingu projekt</w:t>
      </w:r>
      <w:r w:rsidR="008046A3">
        <w:rPr>
          <w:szCs w:val="24"/>
          <w:lang w:eastAsia="et-EE"/>
        </w:rPr>
        <w:t xml:space="preserve"> osas I</w:t>
      </w:r>
      <w:r w:rsidRPr="0087225B">
        <w:rPr>
          <w:szCs w:val="24"/>
          <w:lang w:eastAsia="et-EE"/>
        </w:rPr>
        <w:t>;</w:t>
      </w:r>
    </w:p>
    <w:p w14:paraId="3F570A60" w14:textId="1E28A6E2" w:rsidR="008046A3" w:rsidRDefault="008046A3" w:rsidP="00C03A2D">
      <w:pPr>
        <w:numPr>
          <w:ilvl w:val="1"/>
          <w:numId w:val="6"/>
        </w:numPr>
        <w:ind w:left="0" w:firstLine="0"/>
        <w:rPr>
          <w:szCs w:val="24"/>
          <w:lang w:eastAsia="et-EE"/>
        </w:rPr>
      </w:pPr>
      <w:r>
        <w:rPr>
          <w:szCs w:val="24"/>
          <w:lang w:eastAsia="et-EE"/>
        </w:rPr>
        <w:t xml:space="preserve">Lisa 1.1 - </w:t>
      </w:r>
      <w:r w:rsidRPr="0087225B">
        <w:rPr>
          <w:szCs w:val="24"/>
          <w:lang w:eastAsia="et-EE"/>
        </w:rPr>
        <w:t>Hankelepingu projekt</w:t>
      </w:r>
      <w:r>
        <w:rPr>
          <w:szCs w:val="24"/>
          <w:lang w:eastAsia="et-EE"/>
        </w:rPr>
        <w:t xml:space="preserve"> osas II;</w:t>
      </w:r>
    </w:p>
    <w:p w14:paraId="7416A85E" w14:textId="5ED3AFC6" w:rsidR="008046A3" w:rsidRDefault="008046A3" w:rsidP="00C03A2D">
      <w:pPr>
        <w:numPr>
          <w:ilvl w:val="1"/>
          <w:numId w:val="6"/>
        </w:numPr>
        <w:ind w:left="0" w:firstLine="0"/>
        <w:rPr>
          <w:szCs w:val="24"/>
          <w:lang w:eastAsia="et-EE"/>
        </w:rPr>
      </w:pPr>
      <w:r>
        <w:rPr>
          <w:szCs w:val="24"/>
          <w:lang w:eastAsia="et-EE"/>
        </w:rPr>
        <w:t xml:space="preserve">Lisa 1.2 - </w:t>
      </w:r>
      <w:r w:rsidRPr="0087225B">
        <w:rPr>
          <w:szCs w:val="24"/>
          <w:lang w:eastAsia="et-EE"/>
        </w:rPr>
        <w:t>Hankelepingu projekt</w:t>
      </w:r>
      <w:r>
        <w:rPr>
          <w:szCs w:val="24"/>
          <w:lang w:eastAsia="et-EE"/>
        </w:rPr>
        <w:t xml:space="preserve"> osas III;</w:t>
      </w:r>
    </w:p>
    <w:p w14:paraId="1B7F18AA" w14:textId="68A129FE" w:rsidR="008046A3" w:rsidRDefault="008046A3" w:rsidP="00C03A2D">
      <w:pPr>
        <w:numPr>
          <w:ilvl w:val="1"/>
          <w:numId w:val="6"/>
        </w:numPr>
        <w:ind w:left="0" w:firstLine="0"/>
        <w:rPr>
          <w:szCs w:val="24"/>
          <w:lang w:eastAsia="et-EE"/>
        </w:rPr>
      </w:pPr>
      <w:r>
        <w:rPr>
          <w:szCs w:val="24"/>
          <w:lang w:eastAsia="et-EE"/>
        </w:rPr>
        <w:t xml:space="preserve">Lisa 1.3 - </w:t>
      </w:r>
      <w:r w:rsidRPr="0087225B">
        <w:rPr>
          <w:szCs w:val="24"/>
          <w:lang w:eastAsia="et-EE"/>
        </w:rPr>
        <w:t>Hankelepingu projekt</w:t>
      </w:r>
      <w:r>
        <w:rPr>
          <w:szCs w:val="24"/>
          <w:lang w:eastAsia="et-EE"/>
        </w:rPr>
        <w:t xml:space="preserve"> osas IV</w:t>
      </w:r>
    </w:p>
    <w:p w14:paraId="447C18CF" w14:textId="09CFE0A4" w:rsidR="008046A3" w:rsidRPr="0087225B" w:rsidRDefault="008046A3" w:rsidP="00C03A2D">
      <w:pPr>
        <w:numPr>
          <w:ilvl w:val="1"/>
          <w:numId w:val="6"/>
        </w:numPr>
        <w:ind w:left="0" w:firstLine="0"/>
        <w:rPr>
          <w:szCs w:val="24"/>
          <w:lang w:eastAsia="et-EE"/>
        </w:rPr>
      </w:pPr>
      <w:r>
        <w:rPr>
          <w:szCs w:val="24"/>
          <w:lang w:eastAsia="et-EE"/>
        </w:rPr>
        <w:t xml:space="preserve">Lisa 1.4 - </w:t>
      </w:r>
      <w:r w:rsidRPr="0087225B">
        <w:rPr>
          <w:szCs w:val="24"/>
          <w:lang w:eastAsia="et-EE"/>
        </w:rPr>
        <w:t>Hankelepingu projekt</w:t>
      </w:r>
      <w:r>
        <w:rPr>
          <w:szCs w:val="24"/>
          <w:lang w:eastAsia="et-EE"/>
        </w:rPr>
        <w:t xml:space="preserve"> osas V;</w:t>
      </w:r>
    </w:p>
    <w:p w14:paraId="6D5F6FB7" w14:textId="77777777" w:rsidR="00C03A2D" w:rsidRPr="00D6434B" w:rsidRDefault="00C03A2D" w:rsidP="00C03A2D">
      <w:pPr>
        <w:numPr>
          <w:ilvl w:val="1"/>
          <w:numId w:val="6"/>
        </w:numPr>
        <w:ind w:left="0" w:firstLine="0"/>
        <w:rPr>
          <w:szCs w:val="24"/>
          <w:lang w:eastAsia="et-EE"/>
        </w:rPr>
      </w:pPr>
      <w:r w:rsidRPr="0087225B">
        <w:rPr>
          <w:szCs w:val="24"/>
          <w:lang w:eastAsia="et-EE"/>
        </w:rPr>
        <w:t xml:space="preserve">Lisa </w:t>
      </w:r>
      <w:r>
        <w:rPr>
          <w:szCs w:val="24"/>
          <w:lang w:eastAsia="et-EE"/>
        </w:rPr>
        <w:t xml:space="preserve">2 </w:t>
      </w:r>
      <w:r w:rsidRPr="00D6434B">
        <w:rPr>
          <w:szCs w:val="24"/>
          <w:lang w:eastAsia="et-EE"/>
        </w:rPr>
        <w:t>- Vastavustingimused;</w:t>
      </w:r>
    </w:p>
    <w:p w14:paraId="014DA4B6" w14:textId="77777777" w:rsidR="00C03A2D" w:rsidRDefault="00C03A2D" w:rsidP="00C03A2D">
      <w:pPr>
        <w:numPr>
          <w:ilvl w:val="1"/>
          <w:numId w:val="6"/>
        </w:numPr>
        <w:tabs>
          <w:tab w:val="left" w:pos="142"/>
        </w:tabs>
        <w:ind w:left="0" w:firstLine="0"/>
        <w:rPr>
          <w:szCs w:val="24"/>
          <w:lang w:eastAsia="et-EE"/>
        </w:rPr>
      </w:pPr>
      <w:r w:rsidRPr="00D6434B">
        <w:rPr>
          <w:szCs w:val="24"/>
          <w:lang w:eastAsia="et-EE"/>
        </w:rPr>
        <w:t>Lisa 2.1. Full-stack vanemarendaja CV vorm (sisaldab rollile kehtestatud</w:t>
      </w:r>
      <w:r>
        <w:rPr>
          <w:szCs w:val="24"/>
          <w:lang w:eastAsia="et-EE"/>
        </w:rPr>
        <w:t xml:space="preserve"> </w:t>
      </w:r>
      <w:r w:rsidRPr="00D6434B">
        <w:rPr>
          <w:szCs w:val="24"/>
          <w:lang w:eastAsia="et-EE"/>
        </w:rPr>
        <w:t>vastavustingimusi);</w:t>
      </w:r>
    </w:p>
    <w:p w14:paraId="1AB49CE2" w14:textId="77777777" w:rsidR="00C03A2D" w:rsidRDefault="00C03A2D" w:rsidP="00C03A2D">
      <w:pPr>
        <w:numPr>
          <w:ilvl w:val="1"/>
          <w:numId w:val="6"/>
        </w:numPr>
        <w:tabs>
          <w:tab w:val="left" w:pos="142"/>
        </w:tabs>
        <w:ind w:left="0" w:firstLine="0"/>
        <w:rPr>
          <w:szCs w:val="24"/>
          <w:lang w:eastAsia="et-EE"/>
        </w:rPr>
      </w:pPr>
      <w:r>
        <w:rPr>
          <w:szCs w:val="24"/>
          <w:lang w:eastAsia="et-EE"/>
        </w:rPr>
        <w:t xml:space="preserve">Lisa 2.2. </w:t>
      </w:r>
      <w:r>
        <w:rPr>
          <w:szCs w:val="24"/>
          <w:shd w:val="clear" w:color="auto" w:fill="FFFFFF"/>
        </w:rPr>
        <w:t xml:space="preserve">Full-stack </w:t>
      </w:r>
      <w:r w:rsidRPr="00D6434B">
        <w:rPr>
          <w:szCs w:val="24"/>
          <w:lang w:eastAsia="et-EE"/>
        </w:rPr>
        <w:t>arendaja CV vorm (sisaldab rollile kehtestatud</w:t>
      </w:r>
      <w:r>
        <w:rPr>
          <w:szCs w:val="24"/>
          <w:lang w:eastAsia="et-EE"/>
        </w:rPr>
        <w:t xml:space="preserve"> </w:t>
      </w:r>
      <w:r w:rsidRPr="00D6434B">
        <w:rPr>
          <w:szCs w:val="24"/>
          <w:lang w:eastAsia="et-EE"/>
        </w:rPr>
        <w:t>vastavustingimusi);</w:t>
      </w:r>
    </w:p>
    <w:p w14:paraId="1DF33783" w14:textId="77777777" w:rsidR="00C03A2D" w:rsidRDefault="00C03A2D" w:rsidP="00C03A2D">
      <w:pPr>
        <w:numPr>
          <w:ilvl w:val="1"/>
          <w:numId w:val="6"/>
        </w:numPr>
        <w:tabs>
          <w:tab w:val="left" w:pos="142"/>
        </w:tabs>
        <w:ind w:left="0" w:firstLine="0"/>
        <w:rPr>
          <w:szCs w:val="24"/>
          <w:lang w:eastAsia="et-EE"/>
        </w:rPr>
      </w:pPr>
      <w:r>
        <w:rPr>
          <w:szCs w:val="24"/>
          <w:lang w:eastAsia="et-EE"/>
        </w:rPr>
        <w:t>Lisa 2.3. Süsteemianalüütiku</w:t>
      </w:r>
      <w:r w:rsidRPr="00D6434B">
        <w:rPr>
          <w:szCs w:val="24"/>
          <w:lang w:eastAsia="et-EE"/>
        </w:rPr>
        <w:t xml:space="preserve"> CV vorm (sisaldab rollile kehtestatud</w:t>
      </w:r>
      <w:r>
        <w:rPr>
          <w:szCs w:val="24"/>
          <w:lang w:eastAsia="et-EE"/>
        </w:rPr>
        <w:t xml:space="preserve"> </w:t>
      </w:r>
      <w:r w:rsidRPr="00D6434B">
        <w:rPr>
          <w:szCs w:val="24"/>
          <w:lang w:eastAsia="et-EE"/>
        </w:rPr>
        <w:t>vastavustingimusi);</w:t>
      </w:r>
    </w:p>
    <w:p w14:paraId="16A55E6B" w14:textId="77777777" w:rsidR="00C03A2D" w:rsidRDefault="00C03A2D" w:rsidP="00C03A2D">
      <w:pPr>
        <w:numPr>
          <w:ilvl w:val="1"/>
          <w:numId w:val="6"/>
        </w:numPr>
        <w:tabs>
          <w:tab w:val="left" w:pos="142"/>
        </w:tabs>
        <w:ind w:left="0" w:firstLine="0"/>
        <w:rPr>
          <w:szCs w:val="24"/>
          <w:lang w:eastAsia="et-EE"/>
        </w:rPr>
      </w:pPr>
      <w:r>
        <w:rPr>
          <w:szCs w:val="24"/>
          <w:lang w:eastAsia="et-EE"/>
        </w:rPr>
        <w:t>Lisa 2.4. Automaattestija</w:t>
      </w:r>
      <w:r w:rsidRPr="00D6434B">
        <w:rPr>
          <w:szCs w:val="24"/>
          <w:lang w:eastAsia="et-EE"/>
        </w:rPr>
        <w:t xml:space="preserve"> CV vorm (sisaldab rollile kehtestatud</w:t>
      </w:r>
      <w:r>
        <w:rPr>
          <w:szCs w:val="24"/>
          <w:lang w:eastAsia="et-EE"/>
        </w:rPr>
        <w:t xml:space="preserve"> </w:t>
      </w:r>
      <w:r w:rsidRPr="00D6434B">
        <w:rPr>
          <w:szCs w:val="24"/>
          <w:lang w:eastAsia="et-EE"/>
        </w:rPr>
        <w:t>vastavustingimusi);</w:t>
      </w:r>
    </w:p>
    <w:p w14:paraId="6123E514" w14:textId="77777777" w:rsidR="00C03A2D" w:rsidRPr="007051C8" w:rsidRDefault="00C03A2D" w:rsidP="00C03A2D">
      <w:pPr>
        <w:numPr>
          <w:ilvl w:val="1"/>
          <w:numId w:val="6"/>
        </w:numPr>
        <w:tabs>
          <w:tab w:val="left" w:pos="142"/>
        </w:tabs>
        <w:ind w:left="0" w:firstLine="0"/>
        <w:rPr>
          <w:szCs w:val="24"/>
          <w:lang w:eastAsia="et-EE"/>
        </w:rPr>
      </w:pPr>
      <w:r>
        <w:rPr>
          <w:szCs w:val="24"/>
          <w:lang w:eastAsia="et-EE"/>
        </w:rPr>
        <w:t>Lisa 2.5. UX/UI disaineri</w:t>
      </w:r>
      <w:r w:rsidRPr="00D6434B">
        <w:rPr>
          <w:szCs w:val="24"/>
          <w:lang w:eastAsia="et-EE"/>
        </w:rPr>
        <w:t xml:space="preserve"> CV vorm (sisaldab rollile kehtestatud</w:t>
      </w:r>
      <w:r>
        <w:rPr>
          <w:szCs w:val="24"/>
          <w:lang w:eastAsia="et-EE"/>
        </w:rPr>
        <w:t xml:space="preserve"> </w:t>
      </w:r>
      <w:r w:rsidRPr="00D6434B">
        <w:rPr>
          <w:szCs w:val="24"/>
          <w:lang w:eastAsia="et-EE"/>
        </w:rPr>
        <w:t>vastavustingimusi)</w:t>
      </w:r>
      <w:r>
        <w:rPr>
          <w:szCs w:val="24"/>
          <w:lang w:eastAsia="et-EE"/>
        </w:rPr>
        <w:t>.</w:t>
      </w:r>
    </w:p>
    <w:p w14:paraId="39182D49" w14:textId="77777777" w:rsidR="00C03A2D" w:rsidRPr="0087225B" w:rsidRDefault="00C03A2D" w:rsidP="00C03A2D">
      <w:pPr>
        <w:numPr>
          <w:ilvl w:val="1"/>
          <w:numId w:val="6"/>
        </w:numPr>
        <w:ind w:left="0" w:firstLine="0"/>
        <w:rPr>
          <w:szCs w:val="24"/>
          <w:lang w:eastAsia="et-EE"/>
        </w:rPr>
      </w:pPr>
      <w:r w:rsidRPr="0087225B">
        <w:rPr>
          <w:szCs w:val="24"/>
          <w:lang w:eastAsia="et-EE"/>
        </w:rPr>
        <w:t xml:space="preserve">Lisa </w:t>
      </w:r>
      <w:r>
        <w:rPr>
          <w:szCs w:val="24"/>
          <w:lang w:eastAsia="et-EE"/>
        </w:rPr>
        <w:t>3 -</w:t>
      </w:r>
      <w:r w:rsidRPr="0087225B">
        <w:rPr>
          <w:szCs w:val="24"/>
          <w:lang w:eastAsia="et-EE"/>
        </w:rPr>
        <w:t xml:space="preserve"> </w:t>
      </w:r>
      <w:r w:rsidRPr="0087225B">
        <w:rPr>
          <w:szCs w:val="24"/>
        </w:rPr>
        <w:t>Hindamiskriteeriumid ja hinnatavad näitajad (eRHR vorm);</w:t>
      </w:r>
    </w:p>
    <w:p w14:paraId="6F8E12CC" w14:textId="77777777" w:rsidR="00C03A2D" w:rsidRPr="001B1216" w:rsidRDefault="00C03A2D" w:rsidP="00C03A2D">
      <w:pPr>
        <w:numPr>
          <w:ilvl w:val="1"/>
          <w:numId w:val="6"/>
        </w:numPr>
        <w:ind w:left="0" w:firstLine="0"/>
        <w:rPr>
          <w:szCs w:val="24"/>
          <w:lang w:eastAsia="et-EE"/>
        </w:rPr>
      </w:pPr>
      <w:r w:rsidRPr="0087225B">
        <w:rPr>
          <w:szCs w:val="24"/>
        </w:rPr>
        <w:t xml:space="preserve">Lisa </w:t>
      </w:r>
      <w:r>
        <w:rPr>
          <w:szCs w:val="24"/>
        </w:rPr>
        <w:t>4 -</w:t>
      </w:r>
      <w:r w:rsidRPr="0087225B">
        <w:rPr>
          <w:szCs w:val="24"/>
        </w:rPr>
        <w:t xml:space="preserve"> Kõrvaldamise alused (eRHR vorm)</w:t>
      </w:r>
      <w:r>
        <w:rPr>
          <w:szCs w:val="24"/>
        </w:rPr>
        <w:t>.</w:t>
      </w:r>
    </w:p>
    <w:p w14:paraId="38740EAD" w14:textId="77777777" w:rsidR="00C03A2D" w:rsidRDefault="00C03A2D" w:rsidP="00C03A2D">
      <w:pPr>
        <w:pStyle w:val="ListParagraph"/>
        <w:rPr>
          <w:rFonts w:ascii="Times New Roman" w:hAnsi="Times New Roman"/>
          <w:sz w:val="24"/>
          <w:lang w:eastAsia="et-EE"/>
        </w:rPr>
      </w:pPr>
    </w:p>
    <w:p w14:paraId="5763D258" w14:textId="77777777" w:rsidR="00C03A2D" w:rsidRPr="00024DE1" w:rsidRDefault="00C03A2D" w:rsidP="00C03A2D">
      <w:pPr>
        <w:pStyle w:val="Laad1"/>
        <w:numPr>
          <w:ilvl w:val="0"/>
          <w:numId w:val="0"/>
        </w:numPr>
      </w:pPr>
      <w:r>
        <w:t xml:space="preserve">3.       </w:t>
      </w:r>
      <w:r w:rsidRPr="008933E6">
        <w:t xml:space="preserve">Olelusringi kulude </w:t>
      </w:r>
      <w:r w:rsidRPr="008933E6">
        <w:rPr>
          <w:color w:val="000000" w:themeColor="text1"/>
        </w:rPr>
        <w:t xml:space="preserve">arvestamine </w:t>
      </w:r>
    </w:p>
    <w:p w14:paraId="2B896F75" w14:textId="77777777" w:rsidR="00C03A2D" w:rsidRPr="002D0132" w:rsidRDefault="00C03A2D" w:rsidP="00C03A2D">
      <w:pPr>
        <w:pStyle w:val="ListParagraph"/>
        <w:numPr>
          <w:ilvl w:val="1"/>
          <w:numId w:val="8"/>
        </w:numPr>
        <w:spacing w:after="160"/>
        <w:ind w:left="0" w:firstLine="0"/>
        <w:contextualSpacing/>
        <w:jc w:val="both"/>
        <w:rPr>
          <w:rFonts w:ascii="Times New Roman" w:hAnsi="Times New Roman"/>
          <w:sz w:val="24"/>
        </w:rPr>
      </w:pPr>
      <w:r w:rsidRPr="00F447FE">
        <w:rPr>
          <w:rFonts w:ascii="Times New Roman" w:hAnsi="Times New Roman"/>
          <w:sz w:val="24"/>
        </w:rPr>
        <w:t xml:space="preserve">Tegemist on hankijal juba olemas ja kasutuses olevate infosüsteemi (täiendavate) arendustöödega. Lepingu täitmise tulemusel ei teki uut iseseisvat infosüsteemi terviklahendust, mille käitamine eeldaks (märkimisväärsete) täiendavate kulutuste tekkimist nt riistvarale või erinevatele kaudsetele kuludele vmt ning mida saaks arvesse võtta ja lahendada käesoleva </w:t>
      </w:r>
      <w:r>
        <w:rPr>
          <w:rFonts w:ascii="Times New Roman" w:hAnsi="Times New Roman"/>
          <w:sz w:val="24"/>
        </w:rPr>
        <w:t>minikonkursi</w:t>
      </w:r>
      <w:r w:rsidRPr="00F447FE">
        <w:rPr>
          <w:rFonts w:ascii="Times New Roman" w:hAnsi="Times New Roman"/>
          <w:sz w:val="24"/>
        </w:rPr>
        <w:t xml:space="preserve"> raames. Kõnealuse infosüsteemi käitamisega seotud kulutuste määr on praktikas üldjoontes välja kujunenud (lähtuvalt sihtotstarbest, kasutusintensiivsusest jpm) ning tulenevalt hankija asutuse struktuurist ja eelarvestamise süsteemist on infosüsteemide ülalpidamiskulude katmine lahendatud erinevate kombineeritavate tark- ja riistvaraliste lahendustega, mida hangitakse teiste hangete kaudu</w:t>
      </w:r>
      <w:r w:rsidRPr="00FD68E4">
        <w:rPr>
          <w:rFonts w:ascii="Times New Roman" w:hAnsi="Times New Roman"/>
          <w:sz w:val="24"/>
        </w:rPr>
        <w:t>. Hankija hindab pakkumuste hindamisel ühe töötunni teostamise tasu, mis väljendab pakkuja võimekust optimaalsete kuludega töid teostada, täiendavalt ei ole hankija hinnangul oleluskulude hindamine võimalik. Pakkuja pakutav meeskonna koosseis ei mõjuta infosüsteemi elukaare kulusid. Lisaks on planeeritud katta suurem osa võimalikest tekkivatest olelusringikuludest SMITi oma ressursig</w:t>
      </w:r>
      <w:r>
        <w:rPr>
          <w:rFonts w:ascii="Times New Roman" w:hAnsi="Times New Roman"/>
          <w:sz w:val="24"/>
        </w:rPr>
        <w:t>a.</w:t>
      </w:r>
    </w:p>
    <w:p w14:paraId="5285AE26" w14:textId="77777777" w:rsidR="00C03A2D" w:rsidRPr="001E1F88" w:rsidRDefault="00C03A2D" w:rsidP="00C03A2D">
      <w:pPr>
        <w:pStyle w:val="ListParagraph"/>
        <w:rPr>
          <w:rFonts w:ascii="Times New Roman" w:hAnsi="Times New Roman"/>
          <w:sz w:val="24"/>
          <w:lang w:eastAsia="et-EE"/>
        </w:rPr>
      </w:pPr>
    </w:p>
    <w:p w14:paraId="6D76CF0E" w14:textId="77777777" w:rsidR="00C03A2D" w:rsidRPr="00423887" w:rsidRDefault="00C03A2D" w:rsidP="00C03A2D">
      <w:pPr>
        <w:pStyle w:val="ListParagraph"/>
        <w:numPr>
          <w:ilvl w:val="0"/>
          <w:numId w:val="5"/>
        </w:numPr>
        <w:jc w:val="both"/>
        <w:rPr>
          <w:rFonts w:ascii="Times New Roman" w:hAnsi="Times New Roman"/>
          <w:b/>
          <w:vanish/>
          <w:sz w:val="24"/>
        </w:rPr>
      </w:pPr>
    </w:p>
    <w:p w14:paraId="01F23178" w14:textId="77777777" w:rsidR="00C03A2D" w:rsidRPr="00423887" w:rsidRDefault="00C03A2D" w:rsidP="00C03A2D">
      <w:pPr>
        <w:pStyle w:val="ListParagraph"/>
        <w:numPr>
          <w:ilvl w:val="0"/>
          <w:numId w:val="5"/>
        </w:numPr>
        <w:jc w:val="both"/>
        <w:rPr>
          <w:rFonts w:ascii="Times New Roman" w:hAnsi="Times New Roman"/>
          <w:b/>
          <w:vanish/>
          <w:sz w:val="24"/>
        </w:rPr>
      </w:pPr>
    </w:p>
    <w:p w14:paraId="436072EE" w14:textId="77777777" w:rsidR="00C03A2D" w:rsidRPr="00423887" w:rsidRDefault="00C03A2D" w:rsidP="00C03A2D">
      <w:pPr>
        <w:pStyle w:val="ListParagraph"/>
        <w:ind w:left="360"/>
        <w:jc w:val="both"/>
        <w:rPr>
          <w:rFonts w:ascii="Times New Roman" w:hAnsi="Times New Roman"/>
          <w:b/>
          <w:sz w:val="24"/>
        </w:rPr>
      </w:pPr>
    </w:p>
    <w:p w14:paraId="6625DFFD" w14:textId="77777777" w:rsidR="00C03A2D" w:rsidRPr="006B5CAB" w:rsidRDefault="00C03A2D" w:rsidP="00C03A2D">
      <w:pPr>
        <w:numPr>
          <w:ilvl w:val="0"/>
          <w:numId w:val="8"/>
        </w:numPr>
        <w:spacing w:line="276" w:lineRule="auto"/>
        <w:ind w:left="567" w:hanging="567"/>
        <w:rPr>
          <w:szCs w:val="24"/>
        </w:rPr>
      </w:pPr>
      <w:r w:rsidRPr="006B5CAB">
        <w:rPr>
          <w:b/>
          <w:szCs w:val="24"/>
        </w:rPr>
        <w:t>Minikonkursil osalemise tingimused</w:t>
      </w:r>
    </w:p>
    <w:p w14:paraId="560EE159" w14:textId="77777777" w:rsidR="00C03A2D" w:rsidRDefault="00C03A2D" w:rsidP="00C03A2D">
      <w:pPr>
        <w:numPr>
          <w:ilvl w:val="1"/>
          <w:numId w:val="8"/>
        </w:numPr>
        <w:tabs>
          <w:tab w:val="left" w:pos="709"/>
        </w:tabs>
        <w:spacing w:line="276" w:lineRule="auto"/>
        <w:ind w:left="0" w:firstLine="0"/>
        <w:rPr>
          <w:szCs w:val="24"/>
        </w:rPr>
      </w:pPr>
      <w:r w:rsidRPr="006B5CAB">
        <w:rPr>
          <w:szCs w:val="24"/>
        </w:rPr>
        <w:t>Minikonkursi dokumendid moodustavad ühtse terviku. Dokumendid tehakse täitjatele tasuta kättesaadavaks eRHR-i keskkonna vahendusel.</w:t>
      </w:r>
    </w:p>
    <w:p w14:paraId="13E7F784" w14:textId="77777777" w:rsidR="00C03A2D" w:rsidRDefault="00C03A2D" w:rsidP="00C03A2D">
      <w:pPr>
        <w:numPr>
          <w:ilvl w:val="1"/>
          <w:numId w:val="8"/>
        </w:numPr>
        <w:spacing w:line="276" w:lineRule="auto"/>
        <w:ind w:left="0" w:firstLine="0"/>
        <w:rPr>
          <w:szCs w:val="24"/>
        </w:rPr>
      </w:pPr>
      <w:r w:rsidRPr="00D779A1">
        <w:rPr>
          <w:szCs w:val="24"/>
        </w:rPr>
        <w:lastRenderedPageBreak/>
        <w:t>Minikonkursi dokumentide sisu kohta saab tellijalt selgitusi küsida kirjalikul pöördumisel läbi eRHR-i keskkonna teabevahetuse töölehe. Tellija vastab esitatud küsimustele esimesel võimalusel, võttes arvesse RHS § 46 lg 1 ja konkreetse minikonkursi pakkumuste esitamise tähtaega.</w:t>
      </w:r>
    </w:p>
    <w:p w14:paraId="450F30CF" w14:textId="77777777" w:rsidR="00C03A2D" w:rsidRPr="00D779A1" w:rsidRDefault="00C03A2D" w:rsidP="00C03A2D">
      <w:pPr>
        <w:spacing w:line="276" w:lineRule="auto"/>
        <w:ind w:left="567"/>
        <w:rPr>
          <w:szCs w:val="24"/>
        </w:rPr>
      </w:pPr>
    </w:p>
    <w:p w14:paraId="72D05554" w14:textId="77777777" w:rsidR="00C03A2D" w:rsidRPr="006B5CAB" w:rsidRDefault="00C03A2D" w:rsidP="00C03A2D">
      <w:pPr>
        <w:numPr>
          <w:ilvl w:val="0"/>
          <w:numId w:val="8"/>
        </w:numPr>
        <w:spacing w:line="276" w:lineRule="auto"/>
        <w:ind w:left="567" w:hanging="567"/>
        <w:rPr>
          <w:szCs w:val="24"/>
        </w:rPr>
      </w:pPr>
      <w:r w:rsidRPr="006B5CAB">
        <w:rPr>
          <w:b/>
          <w:bCs/>
          <w:szCs w:val="24"/>
        </w:rPr>
        <w:t xml:space="preserve">Pakkumuse vormistamine, esitamine ja muutmine </w:t>
      </w:r>
    </w:p>
    <w:p w14:paraId="3D667971" w14:textId="77777777" w:rsidR="00C03A2D" w:rsidRDefault="00C03A2D" w:rsidP="00C03A2D">
      <w:pPr>
        <w:numPr>
          <w:ilvl w:val="1"/>
          <w:numId w:val="8"/>
        </w:numPr>
        <w:tabs>
          <w:tab w:val="left" w:pos="851"/>
        </w:tabs>
        <w:spacing w:line="276" w:lineRule="auto"/>
        <w:ind w:left="0" w:firstLine="0"/>
        <w:rPr>
          <w:szCs w:val="24"/>
        </w:rPr>
      </w:pPr>
      <w:r w:rsidRPr="006B5CAB">
        <w:rPr>
          <w:szCs w:val="24"/>
          <w:lang w:eastAsia="et-EE"/>
        </w:rPr>
        <w:t xml:space="preserve">Pakkumus tuleb esitada elektrooniliselt eRHR-i kaudu aadressil </w:t>
      </w:r>
      <w:hyperlink r:id="rId16" w:history="1">
        <w:r w:rsidRPr="006B5CAB">
          <w:rPr>
            <w:rStyle w:val="Hyperlink"/>
            <w:szCs w:val="24"/>
            <w:lang w:eastAsia="et-EE"/>
          </w:rPr>
          <w:t>https://riigihanked.riik.ee</w:t>
        </w:r>
      </w:hyperlink>
      <w:r w:rsidRPr="006B5CAB">
        <w:rPr>
          <w:szCs w:val="24"/>
          <w:lang w:eastAsia="et-EE"/>
        </w:rPr>
        <w:t>.</w:t>
      </w:r>
    </w:p>
    <w:p w14:paraId="1F4DBCB1" w14:textId="77777777" w:rsidR="00C03A2D" w:rsidRDefault="00C03A2D" w:rsidP="00C03A2D">
      <w:pPr>
        <w:numPr>
          <w:ilvl w:val="1"/>
          <w:numId w:val="8"/>
        </w:numPr>
        <w:tabs>
          <w:tab w:val="left" w:pos="851"/>
        </w:tabs>
        <w:spacing w:line="276" w:lineRule="auto"/>
        <w:ind w:left="567" w:hanging="567"/>
        <w:rPr>
          <w:szCs w:val="24"/>
        </w:rPr>
      </w:pPr>
      <w:r w:rsidRPr="00D779A1">
        <w:rPr>
          <w:szCs w:val="24"/>
          <w:lang w:eastAsia="et-EE"/>
        </w:rPr>
        <w:t>Dokumendid vormistada PDF-vormingus või mõnes muus üldlevinud vormingus.</w:t>
      </w:r>
    </w:p>
    <w:p w14:paraId="044CA793" w14:textId="77777777" w:rsidR="00C03A2D" w:rsidRDefault="00C03A2D" w:rsidP="00C03A2D">
      <w:pPr>
        <w:numPr>
          <w:ilvl w:val="1"/>
          <w:numId w:val="8"/>
        </w:numPr>
        <w:tabs>
          <w:tab w:val="left" w:pos="851"/>
        </w:tabs>
        <w:spacing w:line="276" w:lineRule="auto"/>
        <w:ind w:left="0" w:firstLine="0"/>
        <w:rPr>
          <w:szCs w:val="24"/>
        </w:rPr>
      </w:pPr>
      <w:r w:rsidRPr="00D779A1">
        <w:rPr>
          <w:szCs w:val="24"/>
          <w:lang w:eastAsia="et-EE"/>
        </w:rPr>
        <w:t xml:space="preserve">Kui esitatavate dokumentide koosseisus on kolmanda osapoole poolt kirjalikult </w:t>
      </w:r>
      <w:r w:rsidRPr="00135E5E">
        <w:rPr>
          <w:szCs w:val="24"/>
          <w:lang w:eastAsia="et-EE"/>
        </w:rPr>
        <w:t>allkirjastatud dokumente, esitada dokument skaneeritud kujul ning originaaldokument esitada ainult juhul, kui tellijal on tekkinud kahtlus dokumendi osas.</w:t>
      </w:r>
    </w:p>
    <w:p w14:paraId="0BC55AA4" w14:textId="77777777" w:rsidR="00C03A2D" w:rsidRPr="00F156EB" w:rsidRDefault="00C03A2D" w:rsidP="00C03A2D">
      <w:pPr>
        <w:numPr>
          <w:ilvl w:val="1"/>
          <w:numId w:val="8"/>
        </w:numPr>
        <w:tabs>
          <w:tab w:val="left" w:pos="851"/>
        </w:tabs>
        <w:spacing w:line="276" w:lineRule="auto"/>
        <w:ind w:left="0" w:firstLine="0"/>
        <w:rPr>
          <w:szCs w:val="24"/>
        </w:rPr>
      </w:pPr>
      <w:r>
        <w:t>Iga viidet, mille hankija teeb minikonkursi alusdokumentides mõnele RHS-i § 88 lõikes 2 nimetatud alusele (standardile, tehnilisele tunnustusele, tehnilisele kontrollisüsteemile, märgisele vms), tuleb lugeda selliselt, et see on täiendatud märkega „või sellega samaväärne“. Iga viidet, mille hankija teeb minikonkursi alusdokumentides ostuallikale, protsessile, kaubamärgile, patendile, tüübile, päritolule, märgisele või tootmisviisile, tuleb lugeda selliselt, et see on täiendatud märkega „või sellega samaväärne“. Samaväärsus tähendab täpselt samu kasutusomadusi ja funktsionaalsusi. Samaväärsuse korral tuleb pakkujal pakkumuses esitada seda tõendavad dokumendid.</w:t>
      </w:r>
    </w:p>
    <w:p w14:paraId="2D330DCF" w14:textId="77777777" w:rsidR="00C03A2D" w:rsidRPr="001A6852" w:rsidRDefault="00C03A2D" w:rsidP="00C03A2D">
      <w:pPr>
        <w:numPr>
          <w:ilvl w:val="1"/>
          <w:numId w:val="8"/>
        </w:numPr>
        <w:tabs>
          <w:tab w:val="left" w:pos="851"/>
        </w:tabs>
        <w:spacing w:line="276" w:lineRule="auto"/>
        <w:ind w:left="0" w:firstLine="0"/>
        <w:rPr>
          <w:szCs w:val="24"/>
        </w:rPr>
      </w:pPr>
      <w:r w:rsidRPr="00135E5E">
        <w:t>Samaväärsuse pakkumisel peab pakutav lahendus ühtima hankija olemasolevate süsteemidega ning toote ja/või teenuse hind peab sisaldama kõiki migreerimisega seotud lisatasusid. Pakkumus peab vastama esitatud nõuetele või olema sellega vähemalt samaväärne, kuid ühilduma olemasoleva lahendusega. Samaväärsust tõendavad andmed ja dokumendid esitab pakkuja koos pakkumusega. Pakkumuse samaväärsust kontrollivad ja hindavad hankija vastavate erialateadmistega töötajad.</w:t>
      </w:r>
    </w:p>
    <w:p w14:paraId="1AA59BF0" w14:textId="77777777" w:rsidR="00C03A2D" w:rsidRPr="00881E6C" w:rsidRDefault="00C03A2D" w:rsidP="00C03A2D">
      <w:pPr>
        <w:rPr>
          <w:szCs w:val="24"/>
        </w:rPr>
      </w:pPr>
    </w:p>
    <w:p w14:paraId="5E5C0294" w14:textId="77777777" w:rsidR="00C03A2D" w:rsidRPr="006B5CAB" w:rsidRDefault="00C03A2D" w:rsidP="00C03A2D">
      <w:pPr>
        <w:numPr>
          <w:ilvl w:val="0"/>
          <w:numId w:val="8"/>
        </w:numPr>
        <w:tabs>
          <w:tab w:val="left" w:pos="567"/>
        </w:tabs>
        <w:ind w:left="567" w:hanging="567"/>
        <w:rPr>
          <w:szCs w:val="24"/>
        </w:rPr>
      </w:pPr>
      <w:r w:rsidRPr="006B5CAB">
        <w:rPr>
          <w:b/>
          <w:szCs w:val="24"/>
        </w:rPr>
        <w:t>Pakkumuste vastavuse kontrollimine</w:t>
      </w:r>
    </w:p>
    <w:p w14:paraId="0ADBD10B" w14:textId="713A5BA3" w:rsidR="00C03A2D" w:rsidRPr="005B384C" w:rsidRDefault="00C03A2D" w:rsidP="00C03A2D">
      <w:pPr>
        <w:numPr>
          <w:ilvl w:val="1"/>
          <w:numId w:val="8"/>
        </w:numPr>
        <w:tabs>
          <w:tab w:val="left" w:pos="567"/>
        </w:tabs>
        <w:spacing w:line="276" w:lineRule="auto"/>
        <w:ind w:left="0" w:firstLine="0"/>
        <w:rPr>
          <w:szCs w:val="24"/>
        </w:rPr>
      </w:pPr>
      <w:r>
        <w:t xml:space="preserve"> </w:t>
      </w:r>
      <w:r w:rsidRPr="006B5CAB">
        <w:t xml:space="preserve">Pakkumus </w:t>
      </w:r>
      <w:r>
        <w:t xml:space="preserve">tunnistatakse </w:t>
      </w:r>
      <w:r w:rsidR="00EA0AD3">
        <w:t xml:space="preserve">osade lõikes </w:t>
      </w:r>
      <w:r>
        <w:t>vastavaks, kui see vastab kõikidele</w:t>
      </w:r>
      <w:r w:rsidRPr="006B5CAB">
        <w:t xml:space="preserve"> minikonkursi </w:t>
      </w:r>
      <w:r w:rsidR="00EA0AD3">
        <w:t xml:space="preserve">vastava osa </w:t>
      </w:r>
      <w:r w:rsidRPr="006B5CAB">
        <w:t>tingimustele</w:t>
      </w:r>
      <w:r>
        <w:t>.</w:t>
      </w:r>
      <w:r w:rsidRPr="006B5CAB">
        <w:t xml:space="preserve"> </w:t>
      </w:r>
      <w:r>
        <w:t xml:space="preserve"> Tellija võib tunnistada pakkumuse vastavaks, kui selles ei esine sisulisi kõrvalekaldeid minikonkursi tingimustest.</w:t>
      </w:r>
    </w:p>
    <w:p w14:paraId="2DEF4E57" w14:textId="77777777" w:rsidR="00C03A2D" w:rsidRPr="00EA7DF7" w:rsidRDefault="00C03A2D" w:rsidP="00C03A2D">
      <w:pPr>
        <w:pStyle w:val="Laad2"/>
        <w:numPr>
          <w:ilvl w:val="1"/>
          <w:numId w:val="8"/>
        </w:numPr>
        <w:ind w:left="0" w:firstLine="0"/>
      </w:pPr>
      <w:r>
        <w:t xml:space="preserve"> </w:t>
      </w:r>
      <w:r w:rsidRPr="008933E6">
        <w:rPr>
          <w:shd w:val="clear" w:color="auto" w:fill="FFFFFF"/>
        </w:rPr>
        <w:t xml:space="preserve">Pakkumuses esitatud andmed peavad olema tõesed, esitatud viisil ja piisava detailsusega, mis võimaldavad hankijal kontrollida nende vastavust </w:t>
      </w:r>
      <w:r>
        <w:rPr>
          <w:shd w:val="clear" w:color="auto" w:fill="FFFFFF"/>
        </w:rPr>
        <w:t>minikonkursi</w:t>
      </w:r>
      <w:r w:rsidRPr="008933E6">
        <w:rPr>
          <w:shd w:val="clear" w:color="auto" w:fill="FFFFFF"/>
        </w:rPr>
        <w:t xml:space="preserve"> alusdokumentides toodud tingimustele.</w:t>
      </w:r>
    </w:p>
    <w:p w14:paraId="509D340D" w14:textId="77777777" w:rsidR="00C03A2D" w:rsidRDefault="00C03A2D" w:rsidP="00C03A2D">
      <w:pPr>
        <w:numPr>
          <w:ilvl w:val="1"/>
          <w:numId w:val="8"/>
        </w:numPr>
        <w:tabs>
          <w:tab w:val="left" w:pos="142"/>
        </w:tabs>
        <w:ind w:left="0" w:firstLine="0"/>
        <w:rPr>
          <w:szCs w:val="24"/>
        </w:rPr>
      </w:pPr>
      <w:r w:rsidRPr="00D779A1">
        <w:rPr>
          <w:szCs w:val="24"/>
        </w:rPr>
        <w:t>Tellija nõudel peab täitja pakkumuses esitatud teavet selgitama, piiritlema või täpsustama.</w:t>
      </w:r>
    </w:p>
    <w:p w14:paraId="39E2A566" w14:textId="3DB49EF5" w:rsidR="00C03A2D" w:rsidRPr="002A7F4A" w:rsidRDefault="00C03A2D" w:rsidP="00C03A2D">
      <w:pPr>
        <w:numPr>
          <w:ilvl w:val="1"/>
          <w:numId w:val="8"/>
        </w:numPr>
        <w:tabs>
          <w:tab w:val="left" w:pos="142"/>
        </w:tabs>
        <w:ind w:left="0" w:firstLine="0"/>
        <w:rPr>
          <w:szCs w:val="24"/>
        </w:rPr>
      </w:pPr>
      <w:r w:rsidRPr="002A7F4A">
        <w:rPr>
          <w:szCs w:val="24"/>
        </w:rPr>
        <w:t xml:space="preserve">Tellijal on õigus lükata pakkumus </w:t>
      </w:r>
      <w:r w:rsidR="00EA0AD3">
        <w:rPr>
          <w:szCs w:val="24"/>
        </w:rPr>
        <w:t xml:space="preserve">osade lõikes </w:t>
      </w:r>
      <w:r w:rsidRPr="002A7F4A">
        <w:rPr>
          <w:szCs w:val="24"/>
        </w:rPr>
        <w:t>tagasi, kui see ei vasta minikonkursi</w:t>
      </w:r>
      <w:r w:rsidR="00EA0AD3">
        <w:rPr>
          <w:szCs w:val="24"/>
        </w:rPr>
        <w:t xml:space="preserve"> vastavas osas </w:t>
      </w:r>
      <w:r w:rsidRPr="002A7F4A">
        <w:rPr>
          <w:szCs w:val="24"/>
        </w:rPr>
        <w:t xml:space="preserve">esitatud tingimustele, </w:t>
      </w:r>
      <w:r>
        <w:t xml:space="preserve">kui täitja ei esita tähtajaks tellija nõutud selgitusi või täitja selgituste põhjal ei ole võimalik üheselt hinnata pakkumuse vastavust </w:t>
      </w:r>
      <w:r w:rsidRPr="002A7F4A">
        <w:rPr>
          <w:szCs w:val="24"/>
        </w:rPr>
        <w:t>ning juhul, kui täitja on esitanud lisatingimusi, mis ei ole kooskõlas minikonkursi tingimustega.</w:t>
      </w:r>
    </w:p>
    <w:p w14:paraId="46F00941" w14:textId="77777777" w:rsidR="00C03A2D" w:rsidRPr="00B63772" w:rsidRDefault="00C03A2D" w:rsidP="00C03A2D">
      <w:pPr>
        <w:numPr>
          <w:ilvl w:val="1"/>
          <w:numId w:val="8"/>
        </w:numPr>
        <w:tabs>
          <w:tab w:val="left" w:pos="0"/>
        </w:tabs>
        <w:ind w:left="0" w:firstLine="0"/>
        <w:rPr>
          <w:szCs w:val="24"/>
        </w:rPr>
      </w:pPr>
      <w:r>
        <w:t>Hankija lükkab pakkumuse tagasi, kui hankelepingu sõlmimine selle pakkumuse alusel rikuks rahvusvahelist sanktsiooni rahvusvahelise sanktsiooni seaduse tähenduses (RSansS).</w:t>
      </w:r>
    </w:p>
    <w:p w14:paraId="019FDC3B" w14:textId="77777777" w:rsidR="00C03A2D" w:rsidRPr="00D779A1" w:rsidRDefault="00C03A2D" w:rsidP="00C03A2D">
      <w:pPr>
        <w:tabs>
          <w:tab w:val="left" w:pos="567"/>
        </w:tabs>
        <w:spacing w:line="276" w:lineRule="auto"/>
        <w:ind w:left="567"/>
        <w:rPr>
          <w:szCs w:val="24"/>
        </w:rPr>
      </w:pPr>
    </w:p>
    <w:p w14:paraId="6CD08033" w14:textId="77777777" w:rsidR="00C03A2D" w:rsidRPr="006B5CAB" w:rsidRDefault="00C03A2D" w:rsidP="00C03A2D">
      <w:pPr>
        <w:numPr>
          <w:ilvl w:val="0"/>
          <w:numId w:val="8"/>
        </w:numPr>
        <w:tabs>
          <w:tab w:val="left" w:pos="709"/>
        </w:tabs>
        <w:spacing w:line="276" w:lineRule="auto"/>
        <w:ind w:left="567" w:hanging="567"/>
        <w:rPr>
          <w:szCs w:val="24"/>
        </w:rPr>
      </w:pPr>
      <w:r w:rsidRPr="006B5CAB">
        <w:rPr>
          <w:b/>
          <w:szCs w:val="24"/>
        </w:rPr>
        <w:t xml:space="preserve">Pakkumuste hindamine, </w:t>
      </w:r>
      <w:r>
        <w:rPr>
          <w:b/>
          <w:szCs w:val="24"/>
        </w:rPr>
        <w:t>edukaks tunnistamine</w:t>
      </w:r>
      <w:r w:rsidRPr="006B5CAB">
        <w:rPr>
          <w:b/>
          <w:szCs w:val="24"/>
        </w:rPr>
        <w:t xml:space="preserve"> </w:t>
      </w:r>
      <w:r>
        <w:rPr>
          <w:b/>
          <w:szCs w:val="24"/>
        </w:rPr>
        <w:t xml:space="preserve">või </w:t>
      </w:r>
      <w:r w:rsidRPr="006B5CAB">
        <w:rPr>
          <w:b/>
          <w:szCs w:val="24"/>
        </w:rPr>
        <w:t xml:space="preserve"> tagasi lükkamine</w:t>
      </w:r>
    </w:p>
    <w:p w14:paraId="15D30A49" w14:textId="52FCED45" w:rsidR="00C03A2D" w:rsidRDefault="00C03A2D" w:rsidP="00C03A2D">
      <w:pPr>
        <w:pStyle w:val="ListParagraph"/>
        <w:numPr>
          <w:ilvl w:val="1"/>
          <w:numId w:val="8"/>
        </w:numPr>
        <w:tabs>
          <w:tab w:val="left" w:pos="709"/>
        </w:tabs>
        <w:spacing w:line="276" w:lineRule="auto"/>
        <w:ind w:left="0" w:firstLine="0"/>
        <w:rPr>
          <w:rFonts w:ascii="Times New Roman" w:hAnsi="Times New Roman"/>
          <w:sz w:val="24"/>
        </w:rPr>
      </w:pPr>
      <w:r w:rsidRPr="00EB69BD">
        <w:rPr>
          <w:rFonts w:ascii="Times New Roman" w:hAnsi="Times New Roman"/>
          <w:sz w:val="24"/>
        </w:rPr>
        <w:lastRenderedPageBreak/>
        <w:t xml:space="preserve">Tellijal on õigus pakkumus </w:t>
      </w:r>
      <w:r w:rsidR="00EA0AD3">
        <w:rPr>
          <w:rFonts w:ascii="Times New Roman" w:hAnsi="Times New Roman"/>
          <w:sz w:val="24"/>
        </w:rPr>
        <w:t xml:space="preserve">osade lõikes </w:t>
      </w:r>
      <w:r w:rsidRPr="00EB69BD">
        <w:rPr>
          <w:rFonts w:ascii="Times New Roman" w:hAnsi="Times New Roman"/>
          <w:sz w:val="24"/>
        </w:rPr>
        <w:t>tagasi lükata ja otsustada hankelepingut mitte sõlmida või vastavalt raamlepingule minikonkurss kehtetuks tunnistada, kui:</w:t>
      </w:r>
    </w:p>
    <w:p w14:paraId="5C3E44CC" w14:textId="77777777" w:rsidR="00C03A2D" w:rsidRDefault="00C03A2D" w:rsidP="00C03A2D">
      <w:pPr>
        <w:pStyle w:val="ListParagraph"/>
        <w:numPr>
          <w:ilvl w:val="2"/>
          <w:numId w:val="8"/>
        </w:numPr>
        <w:tabs>
          <w:tab w:val="left" w:pos="1276"/>
        </w:tabs>
        <w:spacing w:line="276" w:lineRule="auto"/>
        <w:rPr>
          <w:rFonts w:ascii="Times New Roman" w:hAnsi="Times New Roman"/>
          <w:sz w:val="24"/>
        </w:rPr>
      </w:pPr>
      <w:r w:rsidRPr="00EB69BD">
        <w:rPr>
          <w:rFonts w:ascii="Times New Roman" w:hAnsi="Times New Roman"/>
          <w:sz w:val="24"/>
        </w:rPr>
        <w:t>pakkumus(ed) ei vasta tingimustele;</w:t>
      </w:r>
    </w:p>
    <w:p w14:paraId="5BE21B60" w14:textId="77777777" w:rsidR="00C03A2D" w:rsidRDefault="00C03A2D" w:rsidP="00C03A2D">
      <w:pPr>
        <w:pStyle w:val="ListParagraph"/>
        <w:numPr>
          <w:ilvl w:val="2"/>
          <w:numId w:val="8"/>
        </w:numPr>
        <w:tabs>
          <w:tab w:val="left" w:pos="1276"/>
        </w:tabs>
        <w:spacing w:line="276" w:lineRule="auto"/>
        <w:rPr>
          <w:rFonts w:ascii="Times New Roman" w:hAnsi="Times New Roman"/>
          <w:sz w:val="24"/>
        </w:rPr>
      </w:pPr>
      <w:r w:rsidRPr="00EB69BD">
        <w:rPr>
          <w:rFonts w:ascii="Times New Roman" w:hAnsi="Times New Roman"/>
          <w:sz w:val="24"/>
        </w:rPr>
        <w:t>pakkumus(ed) ületavad eeldatavat maksumust;</w:t>
      </w:r>
    </w:p>
    <w:p w14:paraId="0C4126D7" w14:textId="77777777" w:rsidR="00C03A2D" w:rsidRDefault="00C03A2D" w:rsidP="00C03A2D">
      <w:pPr>
        <w:pStyle w:val="ListParagraph"/>
        <w:numPr>
          <w:ilvl w:val="2"/>
          <w:numId w:val="8"/>
        </w:numPr>
        <w:tabs>
          <w:tab w:val="left" w:pos="1276"/>
        </w:tabs>
        <w:spacing w:line="276" w:lineRule="auto"/>
        <w:rPr>
          <w:rFonts w:ascii="Times New Roman" w:hAnsi="Times New Roman"/>
          <w:sz w:val="24"/>
        </w:rPr>
      </w:pPr>
      <w:r w:rsidRPr="00EB69BD">
        <w:rPr>
          <w:rFonts w:ascii="Times New Roman" w:hAnsi="Times New Roman"/>
          <w:sz w:val="24"/>
        </w:rPr>
        <w:t>tellija ei saa projektile rahastust;</w:t>
      </w:r>
    </w:p>
    <w:p w14:paraId="3A7BCE56" w14:textId="77777777" w:rsidR="00C03A2D" w:rsidRPr="00EB69BD" w:rsidRDefault="00C03A2D" w:rsidP="00C03A2D">
      <w:pPr>
        <w:pStyle w:val="ListParagraph"/>
        <w:numPr>
          <w:ilvl w:val="2"/>
          <w:numId w:val="8"/>
        </w:numPr>
        <w:tabs>
          <w:tab w:val="left" w:pos="1276"/>
        </w:tabs>
        <w:spacing w:line="276" w:lineRule="auto"/>
        <w:rPr>
          <w:rFonts w:ascii="Times New Roman" w:hAnsi="Times New Roman"/>
          <w:sz w:val="24"/>
        </w:rPr>
      </w:pPr>
      <w:r w:rsidRPr="00EB69BD">
        <w:rPr>
          <w:rFonts w:ascii="Times New Roman" w:hAnsi="Times New Roman"/>
          <w:sz w:val="24"/>
        </w:rPr>
        <w:t>omal algatusel põhjendatud vajadusel</w:t>
      </w:r>
      <w:r>
        <w:rPr>
          <w:rFonts w:ascii="Times New Roman" w:hAnsi="Times New Roman"/>
          <w:sz w:val="24"/>
        </w:rPr>
        <w:t>.</w:t>
      </w:r>
    </w:p>
    <w:p w14:paraId="3AA796FA" w14:textId="37407D5B" w:rsidR="00C03A2D" w:rsidRDefault="00C03A2D" w:rsidP="00C03A2D">
      <w:pPr>
        <w:pStyle w:val="ListParagraph"/>
        <w:numPr>
          <w:ilvl w:val="1"/>
          <w:numId w:val="8"/>
        </w:numPr>
        <w:spacing w:line="276" w:lineRule="auto"/>
        <w:ind w:left="0" w:firstLine="0"/>
        <w:jc w:val="both"/>
        <w:rPr>
          <w:rFonts w:ascii="Times New Roman" w:hAnsi="Times New Roman"/>
          <w:sz w:val="24"/>
        </w:rPr>
      </w:pPr>
      <w:r w:rsidRPr="006B5CAB">
        <w:rPr>
          <w:rFonts w:ascii="Times New Roman" w:hAnsi="Times New Roman"/>
          <w:sz w:val="24"/>
        </w:rPr>
        <w:t xml:space="preserve">Tellija hindab </w:t>
      </w:r>
      <w:r>
        <w:rPr>
          <w:rFonts w:ascii="Times New Roman" w:hAnsi="Times New Roman"/>
          <w:sz w:val="24"/>
        </w:rPr>
        <w:t xml:space="preserve">pakkumusi </w:t>
      </w:r>
      <w:r w:rsidR="00EA0AD3">
        <w:rPr>
          <w:rFonts w:ascii="Times New Roman" w:hAnsi="Times New Roman"/>
          <w:sz w:val="24"/>
        </w:rPr>
        <w:t xml:space="preserve">osade lõikes </w:t>
      </w:r>
      <w:r w:rsidRPr="006B5CAB">
        <w:rPr>
          <w:rFonts w:ascii="Times New Roman" w:hAnsi="Times New Roman"/>
          <w:sz w:val="24"/>
        </w:rPr>
        <w:t xml:space="preserve">hindamiskriteeriumi </w:t>
      </w:r>
      <w:r w:rsidR="00E20161">
        <w:rPr>
          <w:rFonts w:ascii="Times New Roman" w:hAnsi="Times New Roman"/>
          <w:sz w:val="24"/>
        </w:rPr>
        <w:t>madalaim hind</w:t>
      </w:r>
      <w:r>
        <w:rPr>
          <w:rFonts w:ascii="Times New Roman" w:hAnsi="Times New Roman"/>
          <w:sz w:val="24"/>
        </w:rPr>
        <w:t xml:space="preserve"> </w:t>
      </w:r>
      <w:r w:rsidRPr="0014305C">
        <w:rPr>
          <w:rFonts w:ascii="Times New Roman" w:hAnsi="Times New Roman"/>
          <w:sz w:val="24"/>
        </w:rPr>
        <w:t>alusel</w:t>
      </w:r>
      <w:r>
        <w:rPr>
          <w:rFonts w:ascii="Times New Roman" w:hAnsi="Times New Roman"/>
          <w:sz w:val="24"/>
        </w:rPr>
        <w:t>: h</w:t>
      </w:r>
      <w:r w:rsidRPr="00AB5672">
        <w:rPr>
          <w:rFonts w:ascii="Times New Roman" w:hAnsi="Times New Roman"/>
          <w:sz w:val="24"/>
        </w:rPr>
        <w:t>innatakse rolli töötun</w:t>
      </w:r>
      <w:r>
        <w:rPr>
          <w:rFonts w:ascii="Times New Roman" w:hAnsi="Times New Roman"/>
          <w:sz w:val="24"/>
        </w:rPr>
        <w:t>ni maksumust</w:t>
      </w:r>
      <w:r w:rsidR="00E20161">
        <w:rPr>
          <w:rFonts w:ascii="Times New Roman" w:hAnsi="Times New Roman"/>
          <w:sz w:val="24"/>
        </w:rPr>
        <w:t xml:space="preserve"> km-ta</w:t>
      </w:r>
      <w:r>
        <w:rPr>
          <w:rFonts w:ascii="Times New Roman" w:hAnsi="Times New Roman"/>
          <w:sz w:val="24"/>
        </w:rPr>
        <w:t>.</w:t>
      </w:r>
      <w:r w:rsidRPr="00AB5672">
        <w:rPr>
          <w:rFonts w:ascii="Times New Roman" w:hAnsi="Times New Roman"/>
          <w:sz w:val="24"/>
        </w:rPr>
        <w:t xml:space="preserve"> Hankija tunnistab </w:t>
      </w:r>
      <w:r w:rsidR="00E20161">
        <w:rPr>
          <w:rFonts w:ascii="Times New Roman" w:hAnsi="Times New Roman"/>
          <w:sz w:val="24"/>
        </w:rPr>
        <w:t xml:space="preserve">igas osas </w:t>
      </w:r>
      <w:r w:rsidRPr="00AB5672">
        <w:rPr>
          <w:rFonts w:ascii="Times New Roman" w:hAnsi="Times New Roman"/>
          <w:sz w:val="24"/>
        </w:rPr>
        <w:t xml:space="preserve">edukaks </w:t>
      </w:r>
      <w:r w:rsidR="00E20161">
        <w:rPr>
          <w:rFonts w:ascii="Times New Roman" w:hAnsi="Times New Roman"/>
          <w:sz w:val="24"/>
        </w:rPr>
        <w:t xml:space="preserve">ühe madalaima töötunni maksumusega </w:t>
      </w:r>
      <w:r w:rsidRPr="00AB5672">
        <w:rPr>
          <w:rFonts w:ascii="Times New Roman" w:hAnsi="Times New Roman"/>
          <w:sz w:val="24"/>
        </w:rPr>
        <w:t xml:space="preserve">pakkumuse ja sõlmib edukaks tunnistatud pakkumuse esitanud pakkujaga hankelepingu. </w:t>
      </w:r>
    </w:p>
    <w:p w14:paraId="4A57D793" w14:textId="117DEE74" w:rsidR="00C03A2D" w:rsidRPr="00F40CBB" w:rsidRDefault="00C03A2D" w:rsidP="00C03A2D">
      <w:pPr>
        <w:pStyle w:val="ListParagraph"/>
        <w:numPr>
          <w:ilvl w:val="1"/>
          <w:numId w:val="8"/>
        </w:numPr>
        <w:spacing w:line="276" w:lineRule="auto"/>
        <w:ind w:left="0" w:firstLine="0"/>
        <w:jc w:val="both"/>
        <w:rPr>
          <w:rFonts w:ascii="Times New Roman" w:hAnsi="Times New Roman"/>
          <w:sz w:val="24"/>
        </w:rPr>
      </w:pPr>
      <w:r w:rsidRPr="00F40CBB">
        <w:rPr>
          <w:rFonts w:ascii="Times New Roman" w:hAnsi="Times New Roman"/>
          <w:sz w:val="24"/>
        </w:rPr>
        <w:t xml:space="preserve">Kui minikonkursi </w:t>
      </w:r>
      <w:r w:rsidR="00E20161">
        <w:rPr>
          <w:rFonts w:ascii="Times New Roman" w:hAnsi="Times New Roman"/>
          <w:sz w:val="24"/>
        </w:rPr>
        <w:t>vastavas osas</w:t>
      </w:r>
      <w:r w:rsidRPr="00F40CBB">
        <w:rPr>
          <w:rFonts w:ascii="Times New Roman" w:hAnsi="Times New Roman"/>
          <w:sz w:val="24"/>
        </w:rPr>
        <w:t xml:space="preserve"> saab kaks või enam pakkujat võrdse arvu väärtuspunkte, selgitatakse edukas pakkuja välja liisku heites. Liisuheitmise korra määrab hankija.</w:t>
      </w:r>
    </w:p>
    <w:p w14:paraId="26F60BAE" w14:textId="6C76E2DC" w:rsidR="00C03A2D" w:rsidRPr="004235E4" w:rsidRDefault="00C03A2D" w:rsidP="00C03A2D">
      <w:pPr>
        <w:pStyle w:val="ListParagraph"/>
        <w:numPr>
          <w:ilvl w:val="1"/>
          <w:numId w:val="8"/>
        </w:numPr>
        <w:spacing w:line="276" w:lineRule="auto"/>
        <w:ind w:left="0" w:firstLine="0"/>
        <w:jc w:val="both"/>
        <w:rPr>
          <w:rFonts w:ascii="Times New Roman" w:hAnsi="Times New Roman"/>
          <w:sz w:val="24"/>
        </w:rPr>
      </w:pPr>
      <w:r w:rsidRPr="004235E4">
        <w:rPr>
          <w:rFonts w:ascii="Times New Roman" w:hAnsi="Times New Roman"/>
          <w:sz w:val="24"/>
        </w:rPr>
        <w:t xml:space="preserve">Tellija võib minikonkursi käigus esitatud pakkumusi </w:t>
      </w:r>
      <w:r w:rsidR="00E20161">
        <w:rPr>
          <w:rFonts w:ascii="Times New Roman" w:hAnsi="Times New Roman"/>
          <w:sz w:val="24"/>
        </w:rPr>
        <w:t xml:space="preserve">osade lõikes </w:t>
      </w:r>
      <w:r w:rsidRPr="004235E4">
        <w:rPr>
          <w:rFonts w:ascii="Times New Roman" w:hAnsi="Times New Roman"/>
          <w:sz w:val="24"/>
        </w:rPr>
        <w:t>hinnata enne pakkumuste vastavuse või pakkujate suhtes kõrvaldamise aluste puudumise kontrollimist. Sellisel juhul kontrollib tellija pakkumuse vastavust ja kõrvaldamise aluste puudumist vaid minikonkursi edukal pakkujal. Kui eduka pakkuja pakkumus osutub kontrollimise tulemusena mittevastavaks või pakkuja kõrvaldatakse minikonkursilt, on tellijal õigus tunnistada edukaks hindamise tulemusena paremusjärjestuses järgmine pakkuja ning teostada kirjeldatud kontrollid tema osas.</w:t>
      </w:r>
    </w:p>
    <w:p w14:paraId="482ACD8E" w14:textId="77777777" w:rsidR="00C03A2D" w:rsidRDefault="00C03A2D" w:rsidP="00C03A2D">
      <w:pPr>
        <w:pStyle w:val="BodyText"/>
        <w:spacing w:before="120" w:after="0" w:line="240" w:lineRule="auto"/>
      </w:pPr>
    </w:p>
    <w:p w14:paraId="2D1C9508" w14:textId="77777777" w:rsidR="00C03A2D" w:rsidRPr="005959F7" w:rsidRDefault="00C03A2D" w:rsidP="00C03A2D">
      <w:pPr>
        <w:pStyle w:val="ListParagraph"/>
        <w:numPr>
          <w:ilvl w:val="0"/>
          <w:numId w:val="8"/>
        </w:numPr>
        <w:spacing w:line="276" w:lineRule="auto"/>
        <w:jc w:val="both"/>
        <w:rPr>
          <w:rFonts w:ascii="Times New Roman" w:hAnsi="Times New Roman"/>
          <w:sz w:val="24"/>
        </w:rPr>
      </w:pPr>
      <w:r w:rsidRPr="005959F7">
        <w:rPr>
          <w:rFonts w:ascii="Times New Roman" w:hAnsi="Times New Roman"/>
          <w:b/>
          <w:bCs/>
          <w:sz w:val="24"/>
        </w:rPr>
        <w:t>Kõrvaldamise aluste kontrollimine</w:t>
      </w:r>
      <w:r>
        <w:rPr>
          <w:rFonts w:ascii="Times New Roman" w:hAnsi="Times New Roman"/>
          <w:b/>
          <w:bCs/>
          <w:sz w:val="24"/>
        </w:rPr>
        <w:t>, eduka pakkuja äralangemine</w:t>
      </w:r>
      <w:r w:rsidRPr="005959F7">
        <w:rPr>
          <w:rFonts w:ascii="Times New Roman" w:hAnsi="Times New Roman"/>
          <w:b/>
          <w:bCs/>
          <w:sz w:val="24"/>
        </w:rPr>
        <w:t xml:space="preserve"> </w:t>
      </w:r>
    </w:p>
    <w:p w14:paraId="3C8E2295" w14:textId="77777777" w:rsidR="00C03A2D" w:rsidRPr="003F7C56" w:rsidRDefault="00C03A2D" w:rsidP="00C03A2D">
      <w:pPr>
        <w:pStyle w:val="ListParagraph"/>
        <w:numPr>
          <w:ilvl w:val="1"/>
          <w:numId w:val="8"/>
        </w:numPr>
        <w:spacing w:line="276" w:lineRule="auto"/>
        <w:ind w:left="0" w:firstLine="0"/>
        <w:jc w:val="both"/>
        <w:rPr>
          <w:rFonts w:ascii="Times New Roman" w:hAnsi="Times New Roman"/>
          <w:sz w:val="24"/>
        </w:rPr>
      </w:pPr>
      <w:r w:rsidRPr="005959F7">
        <w:rPr>
          <w:rFonts w:ascii="Times New Roman" w:hAnsi="Times New Roman"/>
          <w:sz w:val="24"/>
        </w:rPr>
        <w:t xml:space="preserve">Tellija kontrollib edukal pakkujalt RHS § 95 lõikes 1 ja 4 sätestatud kõrvaldamise aluseid. Tellija ei sõlmi hankelepingut eduka pakkujaga, kellel esineb mõni § 95 lõikes 1 nimetatud kõrvaldamise alus ning tellija võib kõrvaldada minikonkursilt eduka pakkuja, </w:t>
      </w:r>
      <w:r w:rsidRPr="003F7C56">
        <w:rPr>
          <w:rFonts w:ascii="Times New Roman" w:hAnsi="Times New Roman"/>
          <w:sz w:val="24"/>
        </w:rPr>
        <w:t xml:space="preserve">kellel esineb mõni RHS § 95 lõikes 4 nimetatud kõrvaldamise alus. </w:t>
      </w:r>
    </w:p>
    <w:p w14:paraId="33D17D54" w14:textId="77777777" w:rsidR="00C03A2D" w:rsidRPr="000C580E" w:rsidRDefault="00C03A2D" w:rsidP="00C03A2D">
      <w:pPr>
        <w:pStyle w:val="ListParagraph"/>
        <w:numPr>
          <w:ilvl w:val="1"/>
          <w:numId w:val="8"/>
        </w:numPr>
        <w:spacing w:line="276" w:lineRule="auto"/>
        <w:ind w:left="0" w:firstLine="0"/>
        <w:jc w:val="both"/>
        <w:rPr>
          <w:rFonts w:ascii="Times New Roman" w:hAnsi="Times New Roman"/>
          <w:sz w:val="24"/>
        </w:rPr>
      </w:pPr>
      <w:r w:rsidRPr="003F7C56">
        <w:rPr>
          <w:rFonts w:ascii="Times New Roman" w:hAnsi="Times New Roman"/>
          <w:sz w:val="24"/>
        </w:rPr>
        <w:t xml:space="preserve">Kui edukas pakkuja kõrvaldatakse minikonkursilt, minikonkursil edukas pakkuja võtab tellijast mitteolenevatel põhjustel oma pakkumuse tagasi või ei allkirjasta hankelepingut, mida käsitletakse kui pakkumuse tagasi võtmist RHS § 119 tähenduses, hindab tellija kõiki ülejäänud minikonkursi pakkumusi uuesti ja tunnistab soodsaimaks pakkumuse, mis on pakkumustest majanduslikult soodsaim. Tellija ei ole kohustatud pakkumusi uuesti hindama ja võib tunnistada soodsaimaks esialgsel hindamisel edukuselt järgmiseks osutunud pakkumuse juhul, </w:t>
      </w:r>
      <w:r w:rsidRPr="000C580E">
        <w:rPr>
          <w:rFonts w:ascii="Times New Roman" w:hAnsi="Times New Roman"/>
          <w:sz w:val="24"/>
        </w:rPr>
        <w:t>kui soodsaimaks tunnistatud pakkumuse äralangemine ei saa mõjutada ülejäänud pakkumuste omavahelist järjestust.</w:t>
      </w:r>
    </w:p>
    <w:p w14:paraId="5AC63F9B" w14:textId="315C1961" w:rsidR="000C580E" w:rsidRPr="000C580E" w:rsidRDefault="000C580E" w:rsidP="00C03A2D">
      <w:pPr>
        <w:pStyle w:val="ListParagraph"/>
        <w:numPr>
          <w:ilvl w:val="1"/>
          <w:numId w:val="8"/>
        </w:numPr>
        <w:spacing w:line="276" w:lineRule="auto"/>
        <w:ind w:left="0" w:firstLine="0"/>
        <w:jc w:val="both"/>
        <w:rPr>
          <w:rFonts w:ascii="Times New Roman" w:hAnsi="Times New Roman"/>
          <w:sz w:val="24"/>
        </w:rPr>
      </w:pPr>
      <w:r w:rsidRPr="000C580E">
        <w:rPr>
          <w:rFonts w:ascii="Times New Roman" w:hAnsi="Times New Roman"/>
          <w:sz w:val="24"/>
        </w:rPr>
        <w:t xml:space="preserve">Hankija rakendab RHS § 97 ja pakkuja võib esitada </w:t>
      </w:r>
      <w:r w:rsidR="00767526">
        <w:rPr>
          <w:rFonts w:ascii="Times New Roman" w:hAnsi="Times New Roman"/>
          <w:sz w:val="24"/>
        </w:rPr>
        <w:t xml:space="preserve">koos pakkumusega või hankija nõudmisel tõendeid </w:t>
      </w:r>
      <w:r w:rsidRPr="000C580E">
        <w:rPr>
          <w:rFonts w:ascii="Times New Roman" w:hAnsi="Times New Roman"/>
          <w:sz w:val="24"/>
        </w:rPr>
        <w:t>heastamismeetme</w:t>
      </w:r>
      <w:r w:rsidR="00767526">
        <w:rPr>
          <w:rFonts w:ascii="Times New Roman" w:hAnsi="Times New Roman"/>
          <w:sz w:val="24"/>
        </w:rPr>
        <w:t>te kohta</w:t>
      </w:r>
      <w:r w:rsidRPr="000C580E">
        <w:rPr>
          <w:rFonts w:ascii="Times New Roman" w:hAnsi="Times New Roman"/>
          <w:sz w:val="24"/>
        </w:rPr>
        <w:t>.</w:t>
      </w:r>
    </w:p>
    <w:p w14:paraId="4BAD3580" w14:textId="77777777" w:rsidR="00E63F9E" w:rsidRPr="00656F48" w:rsidRDefault="00E63F9E">
      <w:pPr>
        <w:pStyle w:val="BodyText"/>
        <w:spacing w:before="120" w:after="0" w:line="240" w:lineRule="auto"/>
      </w:pPr>
    </w:p>
    <w:tbl>
      <w:tblPr>
        <w:tblW w:w="934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342"/>
      </w:tblGrid>
      <w:tr w:rsidR="003B4276" w:rsidRPr="00656F48" w14:paraId="4A12679C" w14:textId="77777777" w:rsidTr="000653E6">
        <w:trPr>
          <w:cantSplit/>
          <w:trHeight w:val="276"/>
          <w:jc w:val="right"/>
        </w:trPr>
        <w:tc>
          <w:tcPr>
            <w:tcW w:w="9342" w:type="dxa"/>
          </w:tcPr>
          <w:p w14:paraId="4EEA56C0" w14:textId="77777777" w:rsidR="003B4276" w:rsidRPr="00656F48" w:rsidRDefault="007402D2" w:rsidP="007E64A2">
            <w:pPr>
              <w:pStyle w:val="BodyText"/>
              <w:spacing w:after="0" w:line="240" w:lineRule="auto"/>
              <w:ind w:left="174"/>
              <w:jc w:val="left"/>
            </w:pPr>
            <w:r w:rsidRPr="00656F48">
              <w:t>Lugupidamisega</w:t>
            </w:r>
          </w:p>
          <w:p w14:paraId="0F0EE922" w14:textId="77777777" w:rsidR="005C7525" w:rsidRPr="00656F48" w:rsidRDefault="005C7525" w:rsidP="007E64A2">
            <w:pPr>
              <w:pStyle w:val="BodyText"/>
              <w:spacing w:after="0" w:line="240" w:lineRule="auto"/>
              <w:ind w:left="174"/>
              <w:jc w:val="left"/>
            </w:pPr>
          </w:p>
        </w:tc>
      </w:tr>
      <w:tr w:rsidR="003B4276" w:rsidRPr="00656F48" w14:paraId="09C086CE" w14:textId="77777777" w:rsidTr="000653E6">
        <w:trPr>
          <w:cantSplit/>
          <w:trHeight w:val="735"/>
          <w:jc w:val="right"/>
        </w:trPr>
        <w:tc>
          <w:tcPr>
            <w:tcW w:w="9342" w:type="dxa"/>
          </w:tcPr>
          <w:p w14:paraId="3F1DB698" w14:textId="77777777" w:rsidR="003B4276" w:rsidRPr="00656F48" w:rsidRDefault="00D0735B" w:rsidP="007E64A2">
            <w:pPr>
              <w:pStyle w:val="BodyText"/>
              <w:spacing w:before="60" w:after="60" w:line="240" w:lineRule="auto"/>
              <w:ind w:left="174"/>
              <w:jc w:val="left"/>
              <w:rPr>
                <w:i/>
                <w:iCs/>
                <w:color w:val="808080"/>
              </w:rPr>
            </w:pPr>
            <w:r w:rsidRPr="00656F48">
              <w:rPr>
                <w:i/>
                <w:iCs/>
                <w:color w:val="808080"/>
              </w:rPr>
              <w:t>(allkirjastatud digitaalselt)</w:t>
            </w:r>
          </w:p>
          <w:p w14:paraId="71F2C6C6" w14:textId="77777777" w:rsidR="008669EA" w:rsidRPr="00656F48" w:rsidRDefault="008669EA" w:rsidP="0011260E">
            <w:pPr>
              <w:pStyle w:val="BodyText"/>
              <w:spacing w:before="60" w:after="60" w:line="240" w:lineRule="auto"/>
              <w:jc w:val="left"/>
              <w:rPr>
                <w:color w:val="808080"/>
              </w:rPr>
            </w:pPr>
          </w:p>
        </w:tc>
      </w:tr>
      <w:tr w:rsidR="003B4276" w:rsidRPr="00656F48" w14:paraId="3642D3A6" w14:textId="77777777" w:rsidTr="000653E6">
        <w:trPr>
          <w:cantSplit/>
          <w:trHeight w:val="276"/>
          <w:jc w:val="right"/>
        </w:trPr>
        <w:tc>
          <w:tcPr>
            <w:tcW w:w="9342" w:type="dxa"/>
          </w:tcPr>
          <w:p w14:paraId="3A003D77" w14:textId="23EEAF52" w:rsidR="003B4276" w:rsidRPr="00656F48" w:rsidRDefault="004106B4" w:rsidP="007E64A2">
            <w:pPr>
              <w:pStyle w:val="BodyText"/>
              <w:spacing w:after="0" w:line="240" w:lineRule="auto"/>
              <w:ind w:left="174"/>
              <w:jc w:val="left"/>
            </w:pPr>
            <w:r>
              <w:fldChar w:fldCharType="begin"/>
            </w:r>
            <w:r w:rsidR="001F58EA">
              <w:instrText xml:space="preserve"> delta_signerName  \* MERGEFORMAT</w:instrText>
            </w:r>
            <w:r>
              <w:fldChar w:fldCharType="separate"/>
            </w:r>
            <w:r w:rsidR="001F58EA">
              <w:t>Mart Nielsen</w:t>
            </w:r>
            <w:r>
              <w:fldChar w:fldCharType="end"/>
            </w:r>
          </w:p>
        </w:tc>
      </w:tr>
      <w:tr w:rsidR="00D0735B" w:rsidRPr="00656F48" w14:paraId="060450B4" w14:textId="77777777" w:rsidTr="000653E6">
        <w:trPr>
          <w:cantSplit/>
          <w:trHeight w:val="276"/>
          <w:jc w:val="right"/>
        </w:trPr>
        <w:tc>
          <w:tcPr>
            <w:tcW w:w="9342" w:type="dxa"/>
          </w:tcPr>
          <w:p w14:paraId="3CBE63D7" w14:textId="2BC64BA6" w:rsidR="00D0735B" w:rsidRPr="00656F48" w:rsidRDefault="004106B4" w:rsidP="007E64A2">
            <w:pPr>
              <w:pStyle w:val="BodyText"/>
              <w:spacing w:after="0" w:line="240" w:lineRule="auto"/>
              <w:ind w:left="316" w:hanging="174"/>
              <w:jc w:val="left"/>
            </w:pPr>
            <w:r>
              <w:lastRenderedPageBreak/>
              <w:fldChar w:fldCharType="begin"/>
            </w:r>
            <w:r w:rsidR="001F58EA">
              <w:instrText xml:space="preserve"> delta_signerJobTitle  \* MERGEFORMAT</w:instrText>
            </w:r>
            <w:r>
              <w:fldChar w:fldCharType="separate"/>
            </w:r>
            <w:r w:rsidR="001F58EA">
              <w:t>peadirektor</w:t>
            </w:r>
            <w:r>
              <w:fldChar w:fldCharType="end"/>
            </w:r>
            <w:r w:rsidR="00CC48EC" w:rsidRPr="00656F48">
              <w:t xml:space="preserve"> </w:t>
            </w:r>
          </w:p>
          <w:p w14:paraId="6F091574" w14:textId="77777777" w:rsidR="000653E6" w:rsidRPr="00656F48" w:rsidRDefault="000653E6" w:rsidP="0011260E">
            <w:pPr>
              <w:pStyle w:val="BodyText"/>
              <w:spacing w:after="0" w:line="240" w:lineRule="auto"/>
              <w:jc w:val="left"/>
            </w:pPr>
          </w:p>
          <w:p w14:paraId="4A8907FD" w14:textId="77777777" w:rsidR="00E63F9E" w:rsidRPr="00656F48" w:rsidRDefault="00E63F9E" w:rsidP="0011260E">
            <w:pPr>
              <w:pStyle w:val="BodyText"/>
              <w:spacing w:after="0" w:line="240" w:lineRule="auto"/>
              <w:jc w:val="left"/>
            </w:pPr>
          </w:p>
        </w:tc>
      </w:tr>
      <w:tr w:rsidR="003D6C48" w:rsidRPr="00656F48" w14:paraId="71C0E2C7" w14:textId="77777777" w:rsidTr="000653E6">
        <w:trPr>
          <w:cantSplit/>
          <w:trHeight w:val="276"/>
          <w:jc w:val="right"/>
        </w:trPr>
        <w:tc>
          <w:tcPr>
            <w:tcW w:w="9342" w:type="dxa"/>
          </w:tcPr>
          <w:p w14:paraId="6E98AA0F" w14:textId="77777777" w:rsidR="003D6C48" w:rsidRPr="00656F48" w:rsidRDefault="003D6C48" w:rsidP="0011260E">
            <w:pPr>
              <w:pStyle w:val="BodyText"/>
              <w:spacing w:after="0" w:line="240" w:lineRule="auto"/>
              <w:jc w:val="left"/>
            </w:pPr>
          </w:p>
        </w:tc>
      </w:tr>
    </w:tbl>
    <w:p w14:paraId="4268BC32" w14:textId="77777777" w:rsidR="00060108" w:rsidRPr="00656F48" w:rsidRDefault="00060108">
      <w:pPr>
        <w:pStyle w:val="BodyText"/>
        <w:spacing w:after="0" w:line="240" w:lineRule="auto"/>
        <w:jc w:val="left"/>
      </w:pPr>
    </w:p>
    <w:p w14:paraId="47088FEC" w14:textId="157FB043" w:rsidR="004D1EAE" w:rsidRPr="00656F48" w:rsidRDefault="00060108" w:rsidP="004D1EAE">
      <w:pPr>
        <w:pStyle w:val="BodyText"/>
        <w:tabs>
          <w:tab w:val="left" w:pos="1800"/>
        </w:tabs>
        <w:spacing w:after="0" w:line="240" w:lineRule="auto"/>
        <w:jc w:val="left"/>
      </w:pPr>
      <w:r w:rsidRPr="00656F48">
        <w:t>Lisa: Loet</w:t>
      </w:r>
      <w:r w:rsidR="00C03A2D">
        <w:t>letud punktis 2.</w:t>
      </w:r>
    </w:p>
    <w:p w14:paraId="2E862EB2" w14:textId="77777777" w:rsidR="008A3246" w:rsidRDefault="008A3246" w:rsidP="004D1EAE">
      <w:pPr>
        <w:pStyle w:val="BodyText"/>
        <w:tabs>
          <w:tab w:val="left" w:pos="1800"/>
        </w:tabs>
        <w:spacing w:after="0" w:line="240" w:lineRule="auto"/>
        <w:jc w:val="left"/>
      </w:pPr>
    </w:p>
    <w:p w14:paraId="6CBA33F5" w14:textId="77777777" w:rsidR="008A3246" w:rsidRDefault="008A3246" w:rsidP="004D1EAE">
      <w:pPr>
        <w:pStyle w:val="BodyText"/>
        <w:tabs>
          <w:tab w:val="left" w:pos="1800"/>
        </w:tabs>
        <w:spacing w:after="0" w:line="240" w:lineRule="auto"/>
        <w:jc w:val="left"/>
      </w:pPr>
    </w:p>
    <w:p w14:paraId="3E684147" w14:textId="77777777" w:rsidR="008A3246" w:rsidRDefault="008A3246" w:rsidP="004D1EAE">
      <w:pPr>
        <w:pStyle w:val="BodyText"/>
        <w:tabs>
          <w:tab w:val="left" w:pos="1800"/>
        </w:tabs>
        <w:spacing w:after="0" w:line="240" w:lineRule="auto"/>
        <w:jc w:val="left"/>
      </w:pPr>
    </w:p>
    <w:p w14:paraId="409D23A0" w14:textId="77777777" w:rsidR="008A3246" w:rsidRDefault="008A3246" w:rsidP="004D1EAE">
      <w:pPr>
        <w:pStyle w:val="BodyText"/>
        <w:tabs>
          <w:tab w:val="left" w:pos="1800"/>
        </w:tabs>
        <w:spacing w:after="0" w:line="240" w:lineRule="auto"/>
        <w:jc w:val="left"/>
      </w:pPr>
    </w:p>
    <w:p w14:paraId="676C7B01" w14:textId="77777777" w:rsidR="008A3246" w:rsidRDefault="008A3246" w:rsidP="004D1EAE">
      <w:pPr>
        <w:pStyle w:val="BodyText"/>
        <w:tabs>
          <w:tab w:val="left" w:pos="1800"/>
        </w:tabs>
        <w:spacing w:after="0" w:line="240" w:lineRule="auto"/>
        <w:jc w:val="left"/>
      </w:pPr>
    </w:p>
    <w:p w14:paraId="47B7B2F3" w14:textId="77777777" w:rsidR="008A3246" w:rsidRDefault="008A3246" w:rsidP="004D1EAE">
      <w:pPr>
        <w:pStyle w:val="BodyText"/>
        <w:tabs>
          <w:tab w:val="left" w:pos="1800"/>
        </w:tabs>
        <w:spacing w:after="0" w:line="240" w:lineRule="auto"/>
        <w:jc w:val="left"/>
      </w:pPr>
    </w:p>
    <w:p w14:paraId="6D58E918" w14:textId="29B95614" w:rsidR="004D1EAE" w:rsidRPr="00C03A2D" w:rsidRDefault="00C03A2D" w:rsidP="004D1EAE">
      <w:pPr>
        <w:pStyle w:val="BodyText"/>
        <w:tabs>
          <w:tab w:val="left" w:pos="1800"/>
        </w:tabs>
        <w:spacing w:after="0" w:line="240" w:lineRule="auto"/>
        <w:jc w:val="left"/>
        <w:rPr>
          <w:sz w:val="20"/>
        </w:rPr>
      </w:pPr>
      <w:r w:rsidRPr="00C03A2D">
        <w:rPr>
          <w:sz w:val="20"/>
        </w:rPr>
        <w:fldChar w:fldCharType="begin"/>
      </w:r>
      <w:r w:rsidR="001F58EA">
        <w:rPr>
          <w:sz w:val="20"/>
        </w:rPr>
        <w:instrText xml:space="preserve"> delta_ownerName  \* MERGEFORMAT</w:instrText>
      </w:r>
      <w:r w:rsidRPr="00C03A2D">
        <w:rPr>
          <w:sz w:val="20"/>
        </w:rPr>
        <w:fldChar w:fldCharType="separate"/>
      </w:r>
      <w:r w:rsidR="001F58EA">
        <w:rPr>
          <w:sz w:val="20"/>
        </w:rPr>
        <w:t>Lagle Sokmann</w:t>
      </w:r>
      <w:r w:rsidRPr="00C03A2D">
        <w:rPr>
          <w:sz w:val="20"/>
        </w:rPr>
        <w:fldChar w:fldCharType="end"/>
      </w:r>
      <w:r w:rsidR="005C7525" w:rsidRPr="00C03A2D">
        <w:rPr>
          <w:sz w:val="20"/>
        </w:rPr>
        <w:t xml:space="preserve">, </w:t>
      </w:r>
      <w:r w:rsidRPr="00C03A2D">
        <w:rPr>
          <w:sz w:val="20"/>
        </w:rPr>
        <w:fldChar w:fldCharType="begin"/>
      </w:r>
      <w:r w:rsidR="001F58EA">
        <w:rPr>
          <w:sz w:val="20"/>
        </w:rPr>
        <w:instrText xml:space="preserve"> delta_ownerEmail  \* MERGEFORMAT</w:instrText>
      </w:r>
      <w:r w:rsidRPr="00C03A2D">
        <w:rPr>
          <w:sz w:val="20"/>
        </w:rPr>
        <w:fldChar w:fldCharType="separate"/>
      </w:r>
      <w:r w:rsidR="001F58EA">
        <w:rPr>
          <w:sz w:val="20"/>
        </w:rPr>
        <w:t>lagle.sokmann@smit.ee</w:t>
      </w:r>
      <w:r w:rsidRPr="00C03A2D">
        <w:rPr>
          <w:sz w:val="20"/>
        </w:rPr>
        <w:fldChar w:fldCharType="end"/>
      </w:r>
    </w:p>
    <w:p w14:paraId="06F32F3D" w14:textId="77777777" w:rsidR="004D1EAE" w:rsidRDefault="004D1EAE">
      <w:pPr>
        <w:pStyle w:val="BodyText"/>
        <w:tabs>
          <w:tab w:val="left" w:pos="1800"/>
        </w:tabs>
        <w:spacing w:after="0" w:line="240" w:lineRule="auto"/>
        <w:jc w:val="left"/>
      </w:pPr>
    </w:p>
    <w:sectPr w:rsidR="004D1EAE" w:rsidSect="00AA7291">
      <w:headerReference w:type="default" r:id="rId17"/>
      <w:type w:val="continuous"/>
      <w:pgSz w:w="11906" w:h="16838" w:code="9"/>
      <w:pgMar w:top="1417" w:right="1417" w:bottom="1417" w:left="1417" w:header="454" w:footer="510" w:gutter="0"/>
      <w:cols w:space="708"/>
      <w:titlePg/>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agle Sokmann" w:date="2024-04-01T11:41:00Z" w:initials="LS">
    <w:p w14:paraId="4C5B06D4" w14:textId="77777777" w:rsidR="00190001" w:rsidRDefault="00190001" w:rsidP="00190001">
      <w:pPr>
        <w:pStyle w:val="CommentText"/>
        <w:jc w:val="left"/>
      </w:pPr>
      <w:r>
        <w:rPr>
          <w:rStyle w:val="CommentReference"/>
        </w:rPr>
        <w:annotationRef/>
      </w:r>
      <w:r>
        <w:t>Palun jagage see üldsumma nende osade vahel ära.</w:t>
      </w:r>
    </w:p>
  </w:comment>
  <w:comment w:id="3" w:author="Lagle Sokmann" w:date="2024-02-12T12:06:00Z" w:initials="LS">
    <w:p w14:paraId="7A70A166" w14:textId="67D6ADE8" w:rsidR="006F6822" w:rsidRDefault="006F6822" w:rsidP="006F6822">
      <w:pPr>
        <w:pStyle w:val="CommentText"/>
        <w:jc w:val="left"/>
      </w:pPr>
      <w:r>
        <w:rPr>
          <w:rStyle w:val="CommentReference"/>
        </w:rPr>
        <w:annotationRef/>
      </w:r>
      <w:r>
        <w:t>Palun lisada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B06D4" w15:done="0"/>
  <w15:commentEx w15:paraId="7A70A1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5DD19E" w16cex:dateUtc="2024-04-01T08:41:00Z"/>
  <w16cex:commentExtensible w16cex:durableId="2974883E" w16cex:dateUtc="2024-02-12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B06D4" w16cid:durableId="3B5DD19E"/>
  <w16cid:commentId w16cid:paraId="7A70A166" w16cid:durableId="2974883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20D0" w14:textId="77777777" w:rsidR="00AA7291" w:rsidRDefault="00AA7291">
      <w:r>
        <w:separator/>
      </w:r>
    </w:p>
  </w:endnote>
  <w:endnote w:type="continuationSeparator" w:id="0">
    <w:p w14:paraId="242BE25F" w14:textId="77777777" w:rsidR="00AA7291" w:rsidRDefault="00AA7291">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4046" w14:textId="77777777" w:rsidR="005A223E" w:rsidRDefault="00C4390F">
    <w:pPr>
      <w:pStyle w:val="Foot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21026E49" w14:textId="77777777" w:rsidR="005A223E" w:rsidRDefault="005A22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0F3E" w14:textId="77777777" w:rsidR="00AE1F88" w:rsidRDefault="00AE1F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18"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2268"/>
      <w:gridCol w:w="2268"/>
    </w:tblGrid>
    <w:tr w:rsidR="00B63F9D" w:rsidRPr="00107296" w14:paraId="44E24A92" w14:textId="77777777" w:rsidTr="005860F7">
      <w:trPr>
        <w:trHeight w:val="87"/>
      </w:trPr>
      <w:tc>
        <w:tcPr>
          <w:tcW w:w="5382" w:type="dxa"/>
        </w:tcPr>
        <w:p w14:paraId="14B870C0" w14:textId="77777777" w:rsidR="00B63F9D" w:rsidRPr="00107296" w:rsidRDefault="00B63F9D" w:rsidP="00AE1F88">
          <w:pPr>
            <w:autoSpaceDE w:val="0"/>
            <w:autoSpaceDN w:val="0"/>
            <w:adjustRightInd w:val="0"/>
            <w:ind w:left="718"/>
            <w:rPr>
              <w:rFonts w:ascii="Times New Roman" w:hAnsi="Times New Roman" w:cs="Times New Roman"/>
              <w:color w:val="009CDE"/>
              <w:sz w:val="20"/>
              <w:szCs w:val="24"/>
            </w:rPr>
          </w:pPr>
          <w:r w:rsidRPr="00107296">
            <w:rPr>
              <w:rFonts w:ascii="Times New Roman" w:hAnsi="Times New Roman" w:cs="Times New Roman"/>
              <w:color w:val="009CDE"/>
              <w:sz w:val="20"/>
              <w:szCs w:val="24"/>
            </w:rPr>
            <w:t>Siseministeeriumi infotehnoloogia- ja arenduskeskus</w:t>
          </w:r>
        </w:p>
        <w:p w14:paraId="02CA40E8" w14:textId="77777777" w:rsidR="00B63F9D" w:rsidRPr="00107296" w:rsidRDefault="002E7BEB" w:rsidP="00AE1F88">
          <w:pPr>
            <w:pStyle w:val="Footer"/>
            <w:ind w:left="718"/>
            <w:rPr>
              <w:rFonts w:ascii="Times New Roman" w:hAnsi="Times New Roman" w:cs="Times New Roman"/>
              <w:color w:val="009CDE"/>
              <w:sz w:val="20"/>
              <w:szCs w:val="24"/>
            </w:rPr>
          </w:pPr>
          <w:r>
            <w:rPr>
              <w:rFonts w:ascii="Times New Roman" w:hAnsi="Times New Roman" w:cs="Times New Roman"/>
              <w:color w:val="009CDE"/>
              <w:sz w:val="20"/>
              <w:szCs w:val="24"/>
            </w:rPr>
            <w:t>Mäealuse 2/2</w:t>
          </w:r>
          <w:r w:rsidR="00B63F9D" w:rsidRPr="00107296">
            <w:rPr>
              <w:rFonts w:ascii="Times New Roman" w:hAnsi="Times New Roman" w:cs="Times New Roman"/>
              <w:color w:val="009CDE"/>
              <w:sz w:val="20"/>
              <w:szCs w:val="24"/>
            </w:rPr>
            <w:t>, Tallinn 12618</w:t>
          </w:r>
        </w:p>
      </w:tc>
      <w:tc>
        <w:tcPr>
          <w:tcW w:w="2268" w:type="dxa"/>
        </w:tcPr>
        <w:p w14:paraId="2428BEE1"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Telefon 612 6200</w:t>
          </w:r>
        </w:p>
        <w:p w14:paraId="4A2F72DD"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E-post smit@smit.ee</w:t>
          </w:r>
        </w:p>
      </w:tc>
      <w:tc>
        <w:tcPr>
          <w:tcW w:w="2268" w:type="dxa"/>
        </w:tcPr>
        <w:p w14:paraId="195670D0"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Reg. kood 70008440</w:t>
          </w:r>
        </w:p>
        <w:p w14:paraId="24329DF3"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www.smit.ee</w:t>
          </w:r>
        </w:p>
      </w:tc>
    </w:tr>
  </w:tbl>
  <w:p w14:paraId="38538DF8" w14:textId="77777777" w:rsidR="0011260E" w:rsidRPr="0011260E" w:rsidRDefault="0011260E">
    <w:pPr>
      <w:pStyle w:val="Footer"/>
      <w:rPr>
        <w:sz w:val="20"/>
      </w:rPr>
    </w:pPr>
    <w:r>
      <w:rPr>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A0A77" w14:textId="77777777" w:rsidR="00AA7291" w:rsidRDefault="00AA7291">
      <w:r>
        <w:separator/>
      </w:r>
    </w:p>
  </w:footnote>
  <w:footnote w:type="continuationSeparator" w:id="0">
    <w:p w14:paraId="1EB5BA74" w14:textId="77777777" w:rsidR="00AA7291" w:rsidRDefault="00AA7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61E1"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465FE91A" w14:textId="77777777" w:rsidR="005A223E" w:rsidRDefault="005A2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503E"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5A223E">
      <w:rPr>
        <w:rStyle w:val="PageNumber"/>
        <w:noProof/>
      </w:rPr>
      <w:t>2</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E4339">
      <w:rPr>
        <w:rStyle w:val="PageNumber"/>
        <w:noProof/>
      </w:rPr>
      <w:t>1</w:t>
    </w:r>
    <w:r>
      <w:rPr>
        <w:rStyle w:val="PageNumber"/>
      </w:rPr>
      <w:fldChar w:fldCharType="end"/>
    </w:r>
    <w:r w:rsidR="005A223E">
      <w:rPr>
        <w:rStyle w:val="PageNumber"/>
      </w:rPr>
      <w:t>)</w:t>
    </w:r>
  </w:p>
  <w:p w14:paraId="41393629" w14:textId="77777777" w:rsidR="005A223E" w:rsidRDefault="005A223E">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8CF0" w14:textId="77777777" w:rsidR="00AE1F88" w:rsidRDefault="00AE1F8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864C" w14:textId="1E5CD7F0"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1F58EA">
      <w:rPr>
        <w:rStyle w:val="PageNumber"/>
        <w:noProof/>
      </w:rPr>
      <w:t>5</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1F58EA">
      <w:rPr>
        <w:rStyle w:val="PageNumber"/>
        <w:noProof/>
      </w:rPr>
      <w:t>5</w:t>
    </w:r>
    <w:r>
      <w:rPr>
        <w:rStyle w:val="PageNumber"/>
      </w:rPr>
      <w:fldChar w:fldCharType="end"/>
    </w:r>
    <w:r w:rsidR="005A223E">
      <w:rPr>
        <w:rStyle w:val="PageNumber"/>
      </w:rPr>
      <w:t>)</w:t>
    </w:r>
  </w:p>
  <w:p w14:paraId="0B7FBBCC"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CFC"/>
    <w:multiLevelType w:val="multilevel"/>
    <w:tmpl w:val="E39A2494"/>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3636D"/>
    <w:multiLevelType w:val="multilevel"/>
    <w:tmpl w:val="3FDE7A3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A966A6"/>
    <w:multiLevelType w:val="multilevel"/>
    <w:tmpl w:val="8880192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78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2C42B04"/>
    <w:multiLevelType w:val="multilevel"/>
    <w:tmpl w:val="0A1AD046"/>
    <w:lvl w:ilvl="0">
      <w:start w:val="1"/>
      <w:numFmt w:val="decimal"/>
      <w:pStyle w:val="Laad1"/>
      <w:lvlText w:val="%1."/>
      <w:lvlJc w:val="left"/>
      <w:pPr>
        <w:ind w:left="360" w:hanging="360"/>
      </w:pPr>
      <w:rPr>
        <w:b/>
        <w:bCs/>
      </w:rPr>
    </w:lvl>
    <w:lvl w:ilvl="1">
      <w:start w:val="1"/>
      <w:numFmt w:val="decimal"/>
      <w:pStyle w:val="Laad2"/>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7"/>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gle Sokmann">
    <w15:presenceInfo w15:providerId="None" w15:userId="Lagle Sok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F8"/>
    <w:rsid w:val="000044BA"/>
    <w:rsid w:val="00025B23"/>
    <w:rsid w:val="00030432"/>
    <w:rsid w:val="00045774"/>
    <w:rsid w:val="00060108"/>
    <w:rsid w:val="000615CE"/>
    <w:rsid w:val="00063DAE"/>
    <w:rsid w:val="00064E8C"/>
    <w:rsid w:val="000653E6"/>
    <w:rsid w:val="00066762"/>
    <w:rsid w:val="000676C0"/>
    <w:rsid w:val="00073180"/>
    <w:rsid w:val="00080A46"/>
    <w:rsid w:val="00091900"/>
    <w:rsid w:val="000B48DB"/>
    <w:rsid w:val="000B5E01"/>
    <w:rsid w:val="000B5E2D"/>
    <w:rsid w:val="000C580E"/>
    <w:rsid w:val="000D008B"/>
    <w:rsid w:val="000D2A12"/>
    <w:rsid w:val="000D5FCD"/>
    <w:rsid w:val="0011260E"/>
    <w:rsid w:val="00123487"/>
    <w:rsid w:val="00127FE3"/>
    <w:rsid w:val="00152E9D"/>
    <w:rsid w:val="00153B9E"/>
    <w:rsid w:val="00175B9F"/>
    <w:rsid w:val="00176362"/>
    <w:rsid w:val="00176881"/>
    <w:rsid w:val="00190001"/>
    <w:rsid w:val="001A1A1D"/>
    <w:rsid w:val="001B3A06"/>
    <w:rsid w:val="001C0536"/>
    <w:rsid w:val="001C3006"/>
    <w:rsid w:val="001D0499"/>
    <w:rsid w:val="001D6C8A"/>
    <w:rsid w:val="001E436F"/>
    <w:rsid w:val="001F230F"/>
    <w:rsid w:val="001F58EA"/>
    <w:rsid w:val="002336FE"/>
    <w:rsid w:val="0027738A"/>
    <w:rsid w:val="002819ED"/>
    <w:rsid w:val="002955D4"/>
    <w:rsid w:val="002B64E8"/>
    <w:rsid w:val="002C06A4"/>
    <w:rsid w:val="002E7BEB"/>
    <w:rsid w:val="00305DE1"/>
    <w:rsid w:val="00307A59"/>
    <w:rsid w:val="00310A2B"/>
    <w:rsid w:val="00313146"/>
    <w:rsid w:val="0032377C"/>
    <w:rsid w:val="00323C2B"/>
    <w:rsid w:val="00324077"/>
    <w:rsid w:val="003522CD"/>
    <w:rsid w:val="003535F3"/>
    <w:rsid w:val="00353BD2"/>
    <w:rsid w:val="00364627"/>
    <w:rsid w:val="003779EF"/>
    <w:rsid w:val="0038251B"/>
    <w:rsid w:val="0039759B"/>
    <w:rsid w:val="003A6DF8"/>
    <w:rsid w:val="003B4276"/>
    <w:rsid w:val="003D553E"/>
    <w:rsid w:val="003D6C48"/>
    <w:rsid w:val="003E4624"/>
    <w:rsid w:val="003E54F4"/>
    <w:rsid w:val="0040407C"/>
    <w:rsid w:val="004106B4"/>
    <w:rsid w:val="00415A3B"/>
    <w:rsid w:val="00424D5E"/>
    <w:rsid w:val="004375C0"/>
    <w:rsid w:val="00443716"/>
    <w:rsid w:val="00487B95"/>
    <w:rsid w:val="00490037"/>
    <w:rsid w:val="004C053E"/>
    <w:rsid w:val="004C34CB"/>
    <w:rsid w:val="004C42A5"/>
    <w:rsid w:val="004D1EAE"/>
    <w:rsid w:val="004D57FC"/>
    <w:rsid w:val="004E1EAB"/>
    <w:rsid w:val="004E3E49"/>
    <w:rsid w:val="004F0CE9"/>
    <w:rsid w:val="004F76CC"/>
    <w:rsid w:val="004F7D1B"/>
    <w:rsid w:val="00507802"/>
    <w:rsid w:val="00515416"/>
    <w:rsid w:val="00570B8B"/>
    <w:rsid w:val="005776F1"/>
    <w:rsid w:val="005A223E"/>
    <w:rsid w:val="005A7925"/>
    <w:rsid w:val="005B52F9"/>
    <w:rsid w:val="005C130B"/>
    <w:rsid w:val="005C7525"/>
    <w:rsid w:val="005D4EEC"/>
    <w:rsid w:val="005F245C"/>
    <w:rsid w:val="005F4A9B"/>
    <w:rsid w:val="0060454D"/>
    <w:rsid w:val="0061789C"/>
    <w:rsid w:val="0063215E"/>
    <w:rsid w:val="006400A3"/>
    <w:rsid w:val="00656F48"/>
    <w:rsid w:val="00660940"/>
    <w:rsid w:val="00674570"/>
    <w:rsid w:val="00677DBA"/>
    <w:rsid w:val="00680610"/>
    <w:rsid w:val="006848B6"/>
    <w:rsid w:val="00691A61"/>
    <w:rsid w:val="006B14E5"/>
    <w:rsid w:val="006B521E"/>
    <w:rsid w:val="006C4130"/>
    <w:rsid w:val="006D1E3A"/>
    <w:rsid w:val="006E69E0"/>
    <w:rsid w:val="006F1A06"/>
    <w:rsid w:val="006F6822"/>
    <w:rsid w:val="00722FAF"/>
    <w:rsid w:val="0073735D"/>
    <w:rsid w:val="007402D2"/>
    <w:rsid w:val="00743E43"/>
    <w:rsid w:val="00767526"/>
    <w:rsid w:val="00777A32"/>
    <w:rsid w:val="00792ECB"/>
    <w:rsid w:val="007A5A02"/>
    <w:rsid w:val="007A6C6F"/>
    <w:rsid w:val="007B7ACA"/>
    <w:rsid w:val="007D164A"/>
    <w:rsid w:val="007D3445"/>
    <w:rsid w:val="007E4EEA"/>
    <w:rsid w:val="007E64A2"/>
    <w:rsid w:val="007E7FE6"/>
    <w:rsid w:val="007F68D7"/>
    <w:rsid w:val="00801BB5"/>
    <w:rsid w:val="008046A3"/>
    <w:rsid w:val="00830CA2"/>
    <w:rsid w:val="00843B2E"/>
    <w:rsid w:val="00854DA9"/>
    <w:rsid w:val="00857748"/>
    <w:rsid w:val="00865017"/>
    <w:rsid w:val="008669EA"/>
    <w:rsid w:val="0087558C"/>
    <w:rsid w:val="008811F1"/>
    <w:rsid w:val="00895350"/>
    <w:rsid w:val="00896B07"/>
    <w:rsid w:val="008A02BC"/>
    <w:rsid w:val="008A3246"/>
    <w:rsid w:val="008A3B3F"/>
    <w:rsid w:val="008A3D1B"/>
    <w:rsid w:val="008A4C3C"/>
    <w:rsid w:val="008D720F"/>
    <w:rsid w:val="008E4339"/>
    <w:rsid w:val="00910004"/>
    <w:rsid w:val="00910DD1"/>
    <w:rsid w:val="00912D8A"/>
    <w:rsid w:val="009225A0"/>
    <w:rsid w:val="009322FD"/>
    <w:rsid w:val="0093578C"/>
    <w:rsid w:val="009459D9"/>
    <w:rsid w:val="00957CDD"/>
    <w:rsid w:val="00967FA8"/>
    <w:rsid w:val="00993C51"/>
    <w:rsid w:val="009A2CB8"/>
    <w:rsid w:val="009A2EEE"/>
    <w:rsid w:val="009A4E2A"/>
    <w:rsid w:val="009A7F3E"/>
    <w:rsid w:val="009B1845"/>
    <w:rsid w:val="009C2D6A"/>
    <w:rsid w:val="009F20D3"/>
    <w:rsid w:val="009F3D79"/>
    <w:rsid w:val="00A23DA4"/>
    <w:rsid w:val="00A81588"/>
    <w:rsid w:val="00A83A2D"/>
    <w:rsid w:val="00A86AC7"/>
    <w:rsid w:val="00A91B31"/>
    <w:rsid w:val="00AA7291"/>
    <w:rsid w:val="00AB1415"/>
    <w:rsid w:val="00AB6652"/>
    <w:rsid w:val="00AD00F5"/>
    <w:rsid w:val="00AD191E"/>
    <w:rsid w:val="00AD535F"/>
    <w:rsid w:val="00AE1D5F"/>
    <w:rsid w:val="00AE1F88"/>
    <w:rsid w:val="00B04373"/>
    <w:rsid w:val="00B115BD"/>
    <w:rsid w:val="00B24CA2"/>
    <w:rsid w:val="00B52B4A"/>
    <w:rsid w:val="00B618E6"/>
    <w:rsid w:val="00B6218E"/>
    <w:rsid w:val="00B63F9D"/>
    <w:rsid w:val="00B75B37"/>
    <w:rsid w:val="00B76DFE"/>
    <w:rsid w:val="00BA580E"/>
    <w:rsid w:val="00BC7FE6"/>
    <w:rsid w:val="00BD09A9"/>
    <w:rsid w:val="00BD1538"/>
    <w:rsid w:val="00C03A2D"/>
    <w:rsid w:val="00C04B75"/>
    <w:rsid w:val="00C04DF7"/>
    <w:rsid w:val="00C132AE"/>
    <w:rsid w:val="00C23514"/>
    <w:rsid w:val="00C3156F"/>
    <w:rsid w:val="00C4390F"/>
    <w:rsid w:val="00C81A7F"/>
    <w:rsid w:val="00C96F88"/>
    <w:rsid w:val="00CB044C"/>
    <w:rsid w:val="00CB2DFB"/>
    <w:rsid w:val="00CC48EC"/>
    <w:rsid w:val="00CC4F53"/>
    <w:rsid w:val="00CD49CB"/>
    <w:rsid w:val="00D02782"/>
    <w:rsid w:val="00D04D02"/>
    <w:rsid w:val="00D0735B"/>
    <w:rsid w:val="00D161FE"/>
    <w:rsid w:val="00D26B00"/>
    <w:rsid w:val="00D45C60"/>
    <w:rsid w:val="00D56DE7"/>
    <w:rsid w:val="00D57137"/>
    <w:rsid w:val="00D7453F"/>
    <w:rsid w:val="00D840B4"/>
    <w:rsid w:val="00DC5219"/>
    <w:rsid w:val="00DC739D"/>
    <w:rsid w:val="00DE25DF"/>
    <w:rsid w:val="00DE283C"/>
    <w:rsid w:val="00E13C5D"/>
    <w:rsid w:val="00E20161"/>
    <w:rsid w:val="00E27EA6"/>
    <w:rsid w:val="00E469CD"/>
    <w:rsid w:val="00E50DF9"/>
    <w:rsid w:val="00E56BB2"/>
    <w:rsid w:val="00E63F9E"/>
    <w:rsid w:val="00EA0AD3"/>
    <w:rsid w:val="00EA6948"/>
    <w:rsid w:val="00EC780F"/>
    <w:rsid w:val="00ED3814"/>
    <w:rsid w:val="00EF01FF"/>
    <w:rsid w:val="00EF7493"/>
    <w:rsid w:val="00F43C64"/>
    <w:rsid w:val="00F5588A"/>
    <w:rsid w:val="00F56AEE"/>
    <w:rsid w:val="00F65093"/>
    <w:rsid w:val="00F91A65"/>
    <w:rsid w:val="00F953A8"/>
    <w:rsid w:val="00FA567E"/>
    <w:rsid w:val="00FB429E"/>
    <w:rsid w:val="00FB4F12"/>
    <w:rsid w:val="00FB513B"/>
    <w:rsid w:val="00FF39E2"/>
    <w:rsid w:val="00FF7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9BFE82F"/>
  <w15:docId w15:val="{582CFA14-2277-4DE1-8B9E-1096A937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link w:val="BodyTextChar"/>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FooterChar">
    <w:name w:val="Footer Char"/>
    <w:basedOn w:val="DefaultParagraphFont"/>
    <w:link w:val="Footer"/>
    <w:uiPriority w:val="99"/>
    <w:rsid w:val="00B63F9D"/>
    <w:rPr>
      <w:sz w:val="24"/>
      <w:lang w:eastAsia="en-US"/>
    </w:rPr>
  </w:style>
  <w:style w:type="table" w:styleId="TableGrid">
    <w:name w:val="Table Grid"/>
    <w:basedOn w:val="TableNormal"/>
    <w:uiPriority w:val="39"/>
    <w:rsid w:val="00B63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03A2D"/>
    <w:rPr>
      <w:spacing w:val="-5"/>
      <w:sz w:val="24"/>
      <w:lang w:eastAsia="en-US"/>
    </w:rPr>
  </w:style>
  <w:style w:type="paragraph" w:styleId="ListParagraph">
    <w:name w:val="List Paragraph"/>
    <w:aliases w:val="Mummuga loetelu,Table of contents numbered,Loendi l›ik"/>
    <w:basedOn w:val="Normal"/>
    <w:link w:val="ListParagraphChar"/>
    <w:uiPriority w:val="34"/>
    <w:qFormat/>
    <w:rsid w:val="00C03A2D"/>
    <w:pPr>
      <w:ind w:left="708"/>
      <w:jc w:val="left"/>
    </w:pPr>
    <w:rPr>
      <w:rFonts w:ascii="Tahoma" w:hAnsi="Tahoma"/>
      <w:sz w:val="20"/>
      <w:szCs w:val="24"/>
    </w:rPr>
  </w:style>
  <w:style w:type="character" w:customStyle="1" w:styleId="ListParagraphChar">
    <w:name w:val="List Paragraph Char"/>
    <w:aliases w:val="Mummuga loetelu Char,Table of contents numbered Char,Loendi l›ik Char"/>
    <w:link w:val="ListParagraph"/>
    <w:uiPriority w:val="34"/>
    <w:locked/>
    <w:rsid w:val="00C03A2D"/>
    <w:rPr>
      <w:rFonts w:ascii="Tahoma" w:hAnsi="Tahoma"/>
      <w:szCs w:val="24"/>
      <w:lang w:eastAsia="en-US"/>
    </w:rPr>
  </w:style>
  <w:style w:type="character" w:customStyle="1" w:styleId="meta-list-item-bold">
    <w:name w:val="meta-list-item-bold"/>
    <w:basedOn w:val="DefaultParagraphFont"/>
    <w:rsid w:val="00C03A2D"/>
  </w:style>
  <w:style w:type="paragraph" w:customStyle="1" w:styleId="Laad1">
    <w:name w:val="Laad1"/>
    <w:basedOn w:val="ListParagraph"/>
    <w:link w:val="Laad1Mrk"/>
    <w:qFormat/>
    <w:rsid w:val="00C03A2D"/>
    <w:pPr>
      <w:numPr>
        <w:numId w:val="7"/>
      </w:numPr>
      <w:ind w:left="0"/>
      <w:jc w:val="both"/>
      <w:outlineLvl w:val="0"/>
    </w:pPr>
    <w:rPr>
      <w:rFonts w:ascii="Times New Roman" w:hAnsi="Times New Roman"/>
      <w:b/>
      <w:bCs/>
      <w:sz w:val="24"/>
      <w:lang w:eastAsia="et-EE"/>
    </w:rPr>
  </w:style>
  <w:style w:type="paragraph" w:customStyle="1" w:styleId="Laad2">
    <w:name w:val="Laad2"/>
    <w:basedOn w:val="ListParagraph"/>
    <w:link w:val="Laad2Mrk"/>
    <w:qFormat/>
    <w:rsid w:val="00C03A2D"/>
    <w:pPr>
      <w:numPr>
        <w:ilvl w:val="1"/>
        <w:numId w:val="7"/>
      </w:numPr>
      <w:ind w:left="0" w:firstLine="0"/>
      <w:contextualSpacing/>
      <w:jc w:val="both"/>
    </w:pPr>
    <w:rPr>
      <w:rFonts w:ascii="Times New Roman" w:hAnsi="Times New Roman"/>
      <w:sz w:val="24"/>
      <w:lang w:eastAsia="et-EE"/>
    </w:rPr>
  </w:style>
  <w:style w:type="character" w:customStyle="1" w:styleId="Laad2Mrk">
    <w:name w:val="Laad2 Märk"/>
    <w:basedOn w:val="DefaultParagraphFont"/>
    <w:link w:val="Laad2"/>
    <w:rsid w:val="00C03A2D"/>
    <w:rPr>
      <w:sz w:val="24"/>
      <w:szCs w:val="24"/>
    </w:rPr>
  </w:style>
  <w:style w:type="character" w:customStyle="1" w:styleId="Laad1Mrk">
    <w:name w:val="Laad1 Märk"/>
    <w:basedOn w:val="DefaultParagraphFont"/>
    <w:link w:val="Laad1"/>
    <w:rsid w:val="00C03A2D"/>
    <w:rPr>
      <w:b/>
      <w:bCs/>
      <w:sz w:val="24"/>
      <w:szCs w:val="24"/>
    </w:rPr>
  </w:style>
  <w:style w:type="character" w:styleId="CommentReference">
    <w:name w:val="annotation reference"/>
    <w:basedOn w:val="DefaultParagraphFont"/>
    <w:semiHidden/>
    <w:unhideWhenUsed/>
    <w:rsid w:val="00C03A2D"/>
    <w:rPr>
      <w:sz w:val="16"/>
      <w:szCs w:val="16"/>
    </w:rPr>
  </w:style>
  <w:style w:type="paragraph" w:styleId="CommentText">
    <w:name w:val="annotation text"/>
    <w:basedOn w:val="Normal"/>
    <w:link w:val="CommentTextChar"/>
    <w:unhideWhenUsed/>
    <w:rsid w:val="00C03A2D"/>
    <w:rPr>
      <w:sz w:val="20"/>
    </w:rPr>
  </w:style>
  <w:style w:type="character" w:customStyle="1" w:styleId="CommentTextChar">
    <w:name w:val="Comment Text Char"/>
    <w:basedOn w:val="DefaultParagraphFont"/>
    <w:link w:val="CommentText"/>
    <w:rsid w:val="00C03A2D"/>
    <w:rPr>
      <w:lang w:eastAsia="en-US"/>
    </w:rPr>
  </w:style>
  <w:style w:type="paragraph" w:styleId="CommentSubject">
    <w:name w:val="annotation subject"/>
    <w:basedOn w:val="CommentText"/>
    <w:next w:val="CommentText"/>
    <w:link w:val="CommentSubjectChar"/>
    <w:semiHidden/>
    <w:unhideWhenUsed/>
    <w:rsid w:val="006F6822"/>
    <w:rPr>
      <w:b/>
      <w:bCs/>
    </w:rPr>
  </w:style>
  <w:style w:type="character" w:customStyle="1" w:styleId="CommentSubjectChar">
    <w:name w:val="Comment Subject Char"/>
    <w:basedOn w:val="CommentTextChar"/>
    <w:link w:val="CommentSubject"/>
    <w:semiHidden/>
    <w:rsid w:val="006F6822"/>
    <w:rPr>
      <w:b/>
      <w:bCs/>
      <w:lang w:eastAsia="en-US"/>
    </w:rPr>
  </w:style>
  <w:style w:type="paragraph" w:styleId="Revision">
    <w:name w:val="Revision"/>
    <w:hidden/>
    <w:uiPriority w:val="99"/>
    <w:semiHidden/>
    <w:rsid w:val="00767526"/>
    <w:rPr>
      <w:sz w:val="24"/>
      <w:lang w:eastAsia="en-US"/>
    </w:rPr>
  </w:style>
  <w:style w:type="paragraph" w:styleId="BalloonText">
    <w:name w:val="Balloon Text"/>
    <w:basedOn w:val="Normal"/>
    <w:link w:val="BalloonTextChar"/>
    <w:semiHidden/>
    <w:unhideWhenUsed/>
    <w:rsid w:val="001F58EA"/>
    <w:rPr>
      <w:rFonts w:ascii="Segoe UI" w:hAnsi="Segoe UI" w:cs="Segoe UI"/>
      <w:sz w:val="18"/>
      <w:szCs w:val="18"/>
    </w:rPr>
  </w:style>
  <w:style w:type="character" w:customStyle="1" w:styleId="BalloonTextChar">
    <w:name w:val="Balloon Text Char"/>
    <w:basedOn w:val="DefaultParagraphFont"/>
    <w:link w:val="BalloonText"/>
    <w:semiHidden/>
    <w:rsid w:val="001F58E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riigihanked.riik.e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1605</Words>
  <Characters>9309</Characters>
  <Application>Microsoft Office Word</Application>
  <DocSecurity>0</DocSecurity>
  <Lines>77</Lines>
  <Paragraphs>21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algatuskiri</vt:lpstr>
      <vt:lpstr>algatuskiri</vt:lpstr>
    </vt:vector>
  </TitlesOfParts>
  <Company>Siseministeerium</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Kairi Sule</dc:creator>
  <cp:lastModifiedBy>DELTA</cp:lastModifiedBy>
  <cp:revision>2</cp:revision>
  <cp:lastPrinted>2014-10-07T07:40:00Z</cp:lastPrinted>
  <dcterms:created xsi:type="dcterms:W3CDTF">2024-04-22T14:27:00Z</dcterms:created>
  <dcterms:modified xsi:type="dcterms:W3CDTF">2024-04-22T14:27:00Z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 saaja_1</vt:lpwstr>
  </property>
  <property fmtid="{D5CDD505-2E9C-101B-9397-08002B2CF9AE}" pid="20" name="delta_recipientEmail">
    <vt:lpwstr>{Adressaadi e-posti aadress}</vt:lpwstr>
  </property>
  <property fmtid="{D5CDD505-2E9C-101B-9397-08002B2CF9AE}" pid="21" name="delta_additionalRecipientEmail">
    <vt:lpwstr>{Saaja e-posti aadress}</vt:lpwstr>
  </property>
  <property fmtid="{D5CDD505-2E9C-101B-9397-08002B2CF9AE}" pid="22" name="delta_recipientEmai.1l">
    <vt:lpwstr>{Adressaadi e-posti aadress}</vt:lpwstr>
  </property>
  <property fmtid="{D5CDD505-2E9C-101B-9397-08002B2CF9AE}" pid="23" name="delta_additionalRecipientEmail.1">
    <vt:lpwstr>{Saaja e-posti aadress}</vt:lpwstr>
  </property>
  <property fmtid="{D5CDD505-2E9C-101B-9397-08002B2CF9AE}" pid="24" name="delta_recipientEmail.1">
    <vt:lpwstr>{Saaja e-posti aadress}</vt:lpwstr>
  </property>
  <property fmtid="{D5CDD505-2E9C-101B-9397-08002B2CF9AE}" pid="25" name="delta_recipientPersonName">
    <vt:lpwstr>{saaja nimi}</vt:lpwstr>
  </property>
  <property fmtid="{D5CDD505-2E9C-101B-9397-08002B2CF9AE}" pid="26" name="delta_additionalRecipientName.2">
    <vt:lpwstr>lisa saaja_2</vt:lpwstr>
  </property>
  <property fmtid="{D5CDD505-2E9C-101B-9397-08002B2CF9AE}" pid="27" name="delta_additionalRecipientName.3">
    <vt:lpwstr>lisa saaja_3</vt:lpwstr>
  </property>
  <property fmtid="{D5CDD505-2E9C-101B-9397-08002B2CF9AE}" pid="28" name="delta_recipientPersonName.1">
    <vt:lpwstr>{saaja nimi}</vt:lpwstr>
  </property>
</Properties>
</file>